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200" w:after="200"/>
        <w:jc w:val="center"/>
        <w:textAlignment w:val="auto"/>
        <w:rPr>
          <w:rFonts w:hint="default"/>
          <w:sz w:val="36"/>
          <w:szCs w:val="21"/>
          <w:lang w:val="en-US" w:eastAsia="zh-CN"/>
        </w:rPr>
      </w:pPr>
      <w:r>
        <w:rPr>
          <w:rFonts w:hint="eastAsia"/>
          <w:sz w:val="36"/>
          <w:szCs w:val="21"/>
          <w:lang w:val="en-US" w:eastAsia="zh-CN"/>
        </w:rPr>
        <w:t>CDP灾备一体机招标参数及评分标准</w:t>
      </w:r>
    </w:p>
    <w:p>
      <w:pPr>
        <w:pStyle w:val="2"/>
        <w:keepNext/>
        <w:keepLines/>
        <w:pageBreakBefore w:val="0"/>
        <w:widowControl w:val="0"/>
        <w:kinsoku/>
        <w:wordWrap/>
        <w:overflowPunct/>
        <w:topLinePunct w:val="0"/>
        <w:autoSpaceDE/>
        <w:autoSpaceDN/>
        <w:bidi w:val="0"/>
        <w:adjustRightInd/>
        <w:snapToGrid/>
        <w:spacing w:before="200" w:after="200"/>
        <w:textAlignment w:val="auto"/>
      </w:pPr>
      <w:r>
        <w:rPr>
          <w:rFonts w:hint="eastAsia"/>
          <w:sz w:val="36"/>
          <w:szCs w:val="21"/>
          <w:lang w:val="en-US" w:eastAsia="zh-CN"/>
        </w:rPr>
        <w:t>1.硬件参数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298"/>
        <w:gridCol w:w="5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3" w:type="dxa"/>
          </w:tcPr>
          <w:p>
            <w:pPr>
              <w:rPr>
                <w:rFonts w:hint="default" w:eastAsiaTheme="minorEastAsia"/>
                <w:vertAlign w:val="baseline"/>
                <w:lang w:val="en-US" w:eastAsia="zh-CN"/>
              </w:rPr>
            </w:pPr>
            <w:r>
              <w:rPr>
                <w:rFonts w:hint="eastAsia"/>
                <w:vertAlign w:val="baseline"/>
                <w:lang w:val="en-US" w:eastAsia="zh-CN"/>
              </w:rPr>
              <w:t>设备类型</w:t>
            </w:r>
          </w:p>
        </w:tc>
        <w:tc>
          <w:tcPr>
            <w:tcW w:w="1298" w:type="dxa"/>
          </w:tcPr>
          <w:p>
            <w:pPr>
              <w:rPr>
                <w:rFonts w:hint="default" w:eastAsiaTheme="minorEastAsia"/>
                <w:vertAlign w:val="baseline"/>
                <w:lang w:val="en-US" w:eastAsia="zh-CN"/>
              </w:rPr>
            </w:pPr>
            <w:r>
              <w:rPr>
                <w:rFonts w:hint="eastAsia"/>
                <w:vertAlign w:val="baseline"/>
                <w:lang w:val="en-US" w:eastAsia="zh-CN"/>
              </w:rPr>
              <w:t>技术指标</w:t>
            </w:r>
          </w:p>
        </w:tc>
        <w:tc>
          <w:tcPr>
            <w:tcW w:w="5761" w:type="dxa"/>
          </w:tcPr>
          <w:p>
            <w:pPr>
              <w:rPr>
                <w:rFonts w:hint="default" w:eastAsiaTheme="minorEastAsia"/>
                <w:vertAlign w:val="baseline"/>
                <w:lang w:val="en-US" w:eastAsia="zh-CN"/>
              </w:rPr>
            </w:pPr>
            <w:r>
              <w:rPr>
                <w:rFonts w:hint="eastAsia"/>
                <w:vertAlign w:val="baseline"/>
                <w:lang w:val="en-US" w:eastAsia="zh-CN"/>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3" w:type="dxa"/>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1"/>
                <w:szCs w:val="21"/>
                <w:u w:val="none"/>
                <w:lang w:val="en-US" w:eastAsia="zh-CN" w:bidi="ar"/>
              </w:rPr>
            </w:pPr>
            <w:r>
              <w:rPr>
                <w:rFonts w:hint="eastAsia"/>
                <w:vertAlign w:val="baseline"/>
                <w:lang w:val="en-US" w:eastAsia="zh-CN"/>
              </w:rPr>
              <w:t>CDP灾备一体机</w:t>
            </w:r>
          </w:p>
        </w:tc>
        <w:tc>
          <w:tcPr>
            <w:tcW w:w="1298" w:type="dxa"/>
            <w:vAlign w:val="center"/>
          </w:tcPr>
          <w:p>
            <w:pPr>
              <w:jc w:val="center"/>
              <w:rPr>
                <w:vertAlign w:val="baseline"/>
              </w:rPr>
            </w:pPr>
            <w:r>
              <w:rPr>
                <w:rFonts w:hint="default"/>
                <w:lang w:val="en-US" w:eastAsia="zh-CN"/>
              </w:rPr>
              <w:t>★</w:t>
            </w:r>
            <w:r>
              <w:rPr>
                <w:rFonts w:hint="eastAsia"/>
                <w:vertAlign w:val="baseline"/>
                <w:lang w:val="en-US" w:eastAsia="zh-CN"/>
              </w:rPr>
              <w:t>硬件参数</w:t>
            </w:r>
          </w:p>
        </w:tc>
        <w:tc>
          <w:tcPr>
            <w:tcW w:w="5761" w:type="dxa"/>
          </w:tcPr>
          <w:p>
            <w:pPr>
              <w:rPr>
                <w:rFonts w:hint="eastAsia"/>
                <w:vertAlign w:val="baseline"/>
              </w:rPr>
            </w:pPr>
            <w:r>
              <w:rPr>
                <w:rFonts w:hint="eastAsia"/>
                <w:vertAlign w:val="baseline"/>
              </w:rPr>
              <w:t>2U</w:t>
            </w:r>
            <w:r>
              <w:rPr>
                <w:rFonts w:hint="eastAsia"/>
                <w:vertAlign w:val="baseline"/>
                <w:lang w:val="en-US" w:eastAsia="zh-CN"/>
              </w:rPr>
              <w:t>标准</w:t>
            </w:r>
            <w:r>
              <w:rPr>
                <w:rFonts w:hint="eastAsia"/>
                <w:vertAlign w:val="baseline"/>
              </w:rPr>
              <w:t>机架式设备</w:t>
            </w:r>
            <w:r>
              <w:rPr>
                <w:rFonts w:hint="eastAsia"/>
                <w:vertAlign w:val="baseline"/>
                <w:lang w:val="en-US" w:eastAsia="zh-CN"/>
              </w:rPr>
              <w:t>,12</w:t>
            </w:r>
            <w:r>
              <w:rPr>
                <w:rFonts w:hint="eastAsia"/>
                <w:vertAlign w:val="baseline"/>
              </w:rPr>
              <w:t>个磁盘槽位；</w:t>
            </w:r>
          </w:p>
          <w:p>
            <w:pPr>
              <w:rPr>
                <w:rFonts w:hint="eastAsia"/>
                <w:vertAlign w:val="baseline"/>
                <w:lang w:val="en-US" w:eastAsia="zh-CN"/>
              </w:rPr>
            </w:pPr>
            <w:r>
              <w:rPr>
                <w:rFonts w:hint="eastAsia"/>
                <w:vertAlign w:val="baseline"/>
                <w:lang w:val="en-US" w:eastAsia="zh-CN"/>
              </w:rPr>
              <w:t>≥2块480GSSD盘</w:t>
            </w:r>
          </w:p>
          <w:p>
            <w:pPr>
              <w:rPr>
                <w:rFonts w:hint="eastAsia"/>
                <w:vertAlign w:val="baseline"/>
              </w:rPr>
            </w:pPr>
            <w:r>
              <w:rPr>
                <w:rFonts w:hint="eastAsia"/>
                <w:vertAlign w:val="baseline"/>
                <w:lang w:val="en-US" w:eastAsia="zh-CN"/>
              </w:rPr>
              <w:t>≥7块10T SATA</w:t>
            </w:r>
            <w:r>
              <w:rPr>
                <w:rFonts w:hint="eastAsia"/>
                <w:vertAlign w:val="baseline"/>
              </w:rPr>
              <w:t>硬盘</w:t>
            </w:r>
            <w:r>
              <w:rPr>
                <w:rFonts w:hint="eastAsia"/>
                <w:vertAlign w:val="baseline"/>
                <w:lang w:eastAsia="zh-CN"/>
              </w:rPr>
              <w:t>（</w:t>
            </w:r>
            <w:r>
              <w:rPr>
                <w:rFonts w:hint="eastAsia"/>
                <w:vertAlign w:val="baseline"/>
                <w:lang w:val="en-US" w:eastAsia="zh-CN"/>
              </w:rPr>
              <w:t>可用容量不少于50T</w:t>
            </w:r>
            <w:r>
              <w:rPr>
                <w:rFonts w:hint="eastAsia"/>
                <w:vertAlign w:val="baseline"/>
                <w:lang w:eastAsia="zh-CN"/>
              </w:rPr>
              <w:t>）</w:t>
            </w:r>
            <w:r>
              <w:rPr>
                <w:rFonts w:hint="eastAsia"/>
                <w:vertAlign w:val="baseline"/>
              </w:rPr>
              <w:t>；</w:t>
            </w:r>
          </w:p>
          <w:p>
            <w:pPr>
              <w:rPr>
                <w:rFonts w:hint="eastAsia"/>
                <w:vertAlign w:val="baseline"/>
              </w:rPr>
            </w:pPr>
            <w:r>
              <w:rPr>
                <w:rFonts w:hint="eastAsia"/>
                <w:vertAlign w:val="baseline"/>
                <w:lang w:val="en-US" w:eastAsia="zh-CN"/>
              </w:rPr>
              <w:t>≥2颗12</w:t>
            </w:r>
            <w:r>
              <w:rPr>
                <w:rFonts w:hint="eastAsia"/>
                <w:highlight w:val="none"/>
                <w:vertAlign w:val="baseline"/>
              </w:rPr>
              <w:t>核</w:t>
            </w:r>
            <w:r>
              <w:rPr>
                <w:rFonts w:hint="eastAsia"/>
                <w:highlight w:val="none"/>
                <w:vertAlign w:val="baseline"/>
                <w:lang w:val="en-US" w:eastAsia="zh-CN"/>
              </w:rPr>
              <w:t>24</w:t>
            </w:r>
            <w:r>
              <w:rPr>
                <w:rFonts w:hint="eastAsia"/>
                <w:highlight w:val="none"/>
                <w:vertAlign w:val="baseline"/>
              </w:rPr>
              <w:t>线程</w:t>
            </w:r>
            <w:r>
              <w:rPr>
                <w:rFonts w:hint="eastAsia"/>
                <w:vertAlign w:val="baseline"/>
              </w:rPr>
              <w:t>处理器；</w:t>
            </w:r>
          </w:p>
          <w:p>
            <w:pPr>
              <w:rPr>
                <w:rFonts w:hint="eastAsia"/>
                <w:vertAlign w:val="baseline"/>
              </w:rPr>
            </w:pPr>
            <w:r>
              <w:rPr>
                <w:rFonts w:hint="eastAsia"/>
                <w:vertAlign w:val="baseline"/>
                <w:lang w:val="en-US" w:eastAsia="zh-CN"/>
              </w:rPr>
              <w:t>≥128</w:t>
            </w:r>
            <w:r>
              <w:rPr>
                <w:rFonts w:hint="eastAsia"/>
                <w:highlight w:val="none"/>
                <w:vertAlign w:val="baseline"/>
              </w:rPr>
              <w:t>GB</w:t>
            </w:r>
            <w:r>
              <w:rPr>
                <w:rFonts w:hint="eastAsia"/>
                <w:vertAlign w:val="baseline"/>
              </w:rPr>
              <w:t>高速缓存模块；</w:t>
            </w:r>
          </w:p>
          <w:p>
            <w:pPr>
              <w:rPr>
                <w:rFonts w:hint="eastAsia"/>
                <w:highlight w:val="none"/>
                <w:vertAlign w:val="baseline"/>
              </w:rPr>
            </w:pPr>
            <w:r>
              <w:rPr>
                <w:rFonts w:hint="eastAsia"/>
                <w:highlight w:val="none"/>
                <w:vertAlign w:val="baseline"/>
                <w:lang w:val="en-US" w:eastAsia="zh-CN"/>
              </w:rPr>
              <w:t>≥2个</w:t>
            </w:r>
            <w:r>
              <w:rPr>
                <w:rFonts w:hint="eastAsia"/>
                <w:highlight w:val="none"/>
                <w:vertAlign w:val="baseline"/>
              </w:rPr>
              <w:t>千兆网</w:t>
            </w:r>
            <w:r>
              <w:rPr>
                <w:rFonts w:hint="eastAsia"/>
                <w:highlight w:val="none"/>
                <w:vertAlign w:val="baseline"/>
                <w:lang w:val="en-US" w:eastAsia="zh-CN"/>
              </w:rPr>
              <w:t>口</w:t>
            </w:r>
            <w:r>
              <w:rPr>
                <w:rFonts w:hint="eastAsia"/>
                <w:highlight w:val="none"/>
                <w:vertAlign w:val="baseline"/>
              </w:rPr>
              <w:t>；</w:t>
            </w:r>
            <w:r>
              <w:rPr>
                <w:rFonts w:hint="eastAsia"/>
                <w:highlight w:val="none"/>
                <w:vertAlign w:val="baseline"/>
                <w:lang w:val="en-US" w:eastAsia="zh-CN"/>
              </w:rPr>
              <w:t>≥2个万</w:t>
            </w:r>
            <w:r>
              <w:rPr>
                <w:rFonts w:hint="eastAsia"/>
                <w:highlight w:val="none"/>
                <w:vertAlign w:val="baseline"/>
              </w:rPr>
              <w:t>兆网</w:t>
            </w:r>
            <w:r>
              <w:rPr>
                <w:rFonts w:hint="eastAsia"/>
                <w:highlight w:val="none"/>
                <w:vertAlign w:val="baseline"/>
                <w:lang w:val="en-US" w:eastAsia="zh-CN"/>
              </w:rPr>
              <w:t>口</w:t>
            </w:r>
            <w:r>
              <w:rPr>
                <w:rFonts w:hint="eastAsia"/>
                <w:highlight w:val="none"/>
                <w:vertAlign w:val="baseline"/>
              </w:rPr>
              <w:t>；</w:t>
            </w:r>
          </w:p>
          <w:p>
            <w:pPr>
              <w:rPr>
                <w:vertAlign w:val="baseline"/>
              </w:rPr>
            </w:pPr>
            <w:r>
              <w:rPr>
                <w:rFonts w:hint="eastAsia"/>
                <w:vertAlign w:val="baseline"/>
                <w:lang w:val="en-US" w:eastAsia="zh-CN"/>
              </w:rPr>
              <w:t>≥</w:t>
            </w:r>
            <w:r>
              <w:rPr>
                <w:rFonts w:hint="eastAsia"/>
                <w:vertAlign w:val="baseline"/>
              </w:rPr>
              <w:t>1个冗余电源模块；</w:t>
            </w:r>
          </w:p>
        </w:tc>
      </w:tr>
    </w:tbl>
    <w:p>
      <w:pPr>
        <w:bidi w:val="0"/>
        <w:rPr>
          <w:rFonts w:hint="eastAsia"/>
          <w:lang w:val="en-US" w:eastAsia="zh-CN"/>
        </w:rPr>
      </w:pPr>
    </w:p>
    <w:p>
      <w:pPr>
        <w:bidi w:val="0"/>
        <w:rPr>
          <w:rFonts w:hint="eastAsia"/>
          <w:lang w:val="en-US" w:eastAsia="zh-CN"/>
        </w:rPr>
      </w:pPr>
    </w:p>
    <w:p>
      <w:pPr>
        <w:pStyle w:val="2"/>
        <w:keepNext/>
        <w:keepLines/>
        <w:pageBreakBefore w:val="0"/>
        <w:widowControl w:val="0"/>
        <w:kinsoku/>
        <w:wordWrap/>
        <w:overflowPunct/>
        <w:topLinePunct w:val="0"/>
        <w:autoSpaceDE/>
        <w:autoSpaceDN/>
        <w:bidi w:val="0"/>
        <w:adjustRightInd/>
        <w:snapToGrid/>
        <w:spacing w:before="200" w:after="200"/>
        <w:textAlignment w:val="auto"/>
        <w:rPr>
          <w:rFonts w:hint="eastAsia"/>
          <w:b/>
          <w:sz w:val="36"/>
          <w:szCs w:val="21"/>
          <w:lang w:val="en-US" w:eastAsia="zh-CN"/>
        </w:rPr>
      </w:pPr>
      <w:r>
        <w:rPr>
          <w:rFonts w:hint="eastAsia"/>
          <w:b/>
          <w:sz w:val="36"/>
          <w:szCs w:val="21"/>
          <w:lang w:val="en-US" w:eastAsia="zh-CN"/>
        </w:rPr>
        <w:t>2.软件功能参数</w:t>
      </w:r>
    </w:p>
    <w:tbl>
      <w:tblPr>
        <w:tblStyle w:val="8"/>
        <w:tblW w:w="8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56"/>
        <w:gridCol w:w="6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shd w:val="clear" w:color="auto" w:fill="auto"/>
          </w:tcPr>
          <w:p>
            <w:pPr>
              <w:spacing w:line="240" w:lineRule="auto"/>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技术指标</w:t>
            </w:r>
          </w:p>
        </w:tc>
        <w:tc>
          <w:tcPr>
            <w:tcW w:w="6941" w:type="dxa"/>
            <w:shd w:val="clear" w:color="auto" w:fill="auto"/>
          </w:tcPr>
          <w:p>
            <w:pPr>
              <w:spacing w:line="240" w:lineRule="auto"/>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56" w:type="dxa"/>
            <w:shd w:val="clear" w:color="auto" w:fill="auto"/>
            <w:vAlign w:val="center"/>
          </w:tcPr>
          <w:p>
            <w:pPr>
              <w:spacing w:line="240" w:lineRule="auto"/>
              <w:jc w:val="center"/>
              <w:rPr>
                <w:rFonts w:hint="eastAsia" w:ascii="宋体" w:hAnsi="宋体" w:eastAsia="宋体" w:cs="宋体"/>
                <w:b/>
                <w:bCs/>
                <w:sz w:val="21"/>
                <w:szCs w:val="21"/>
                <w:vertAlign w:val="baseline"/>
                <w:lang w:val="en-US" w:eastAsia="zh-CN"/>
              </w:rPr>
            </w:pPr>
            <w:r>
              <w:rPr>
                <w:rFonts w:hint="eastAsia" w:ascii="宋体" w:hAnsi="宋体" w:eastAsia="宋体" w:cs="宋体"/>
                <w:b w:val="0"/>
                <w:bCs w:val="0"/>
                <w:sz w:val="21"/>
                <w:szCs w:val="21"/>
                <w:vertAlign w:val="baseline"/>
                <w:lang w:val="en-US" w:eastAsia="zh-CN"/>
              </w:rPr>
              <w:t>存储容量及功能授权</w:t>
            </w:r>
          </w:p>
        </w:tc>
        <w:tc>
          <w:tcPr>
            <w:tcW w:w="6941" w:type="dxa"/>
            <w:shd w:val="clear" w:color="auto" w:fill="auto"/>
            <w:vAlign w:val="top"/>
          </w:tcPr>
          <w:p>
            <w:pPr>
              <w:spacing w:line="240" w:lineRule="auto"/>
              <w:jc w:val="left"/>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b w:val="0"/>
                <w:bCs w:val="0"/>
                <w:sz w:val="21"/>
                <w:szCs w:val="21"/>
                <w:vertAlign w:val="baseline"/>
                <w:lang w:val="en-US" w:eastAsia="zh-CN"/>
              </w:rPr>
              <w:t>备份容量授权</w:t>
            </w:r>
            <w:r>
              <w:rPr>
                <w:rFonts w:hint="eastAsia" w:ascii="宋体" w:hAnsi="宋体" w:eastAsia="宋体" w:cs="宋体"/>
                <w:b w:val="0"/>
                <w:bCs w:val="0"/>
                <w:sz w:val="21"/>
                <w:szCs w:val="21"/>
                <w:highlight w:val="none"/>
                <w:vertAlign w:val="baseline"/>
                <w:lang w:val="en-US" w:eastAsia="zh-CN"/>
              </w:rPr>
              <w:t>≥50T</w:t>
            </w:r>
            <w:r>
              <w:rPr>
                <w:rFonts w:hint="eastAsia" w:ascii="宋体" w:hAnsi="宋体" w:eastAsia="宋体" w:cs="宋体"/>
                <w:b w:val="0"/>
                <w:bCs w:val="0"/>
                <w:sz w:val="21"/>
                <w:szCs w:val="21"/>
                <w:vertAlign w:val="baseline"/>
                <w:lang w:val="en-US" w:eastAsia="zh-CN"/>
              </w:rPr>
              <w:t>；</w:t>
            </w:r>
          </w:p>
          <w:p>
            <w:pPr>
              <w:spacing w:line="240" w:lineRule="auto"/>
              <w:jc w:val="left"/>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CDP持续数据保护授权（不限制数量）；</w:t>
            </w:r>
          </w:p>
          <w:p>
            <w:pPr>
              <w:spacing w:line="240" w:lineRule="auto"/>
              <w:jc w:val="left"/>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sz w:val="21"/>
                <w:szCs w:val="21"/>
                <w:vertAlign w:val="baseline"/>
                <w:lang w:val="en-US" w:eastAsia="zh-CN"/>
              </w:rPr>
              <w:t>系统应急接管容灾功能授权（</w:t>
            </w: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2个核心主机的接管授权）；</w:t>
            </w:r>
          </w:p>
          <w:p>
            <w:pPr>
              <w:spacing w:line="240" w:lineRule="auto"/>
              <w:jc w:val="left"/>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快速恢复容灾功能授权；</w:t>
            </w:r>
          </w:p>
          <w:p>
            <w:pPr>
              <w:spacing w:line="240" w:lineRule="auto"/>
              <w:jc w:val="left"/>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提供备份数据归档功能；</w:t>
            </w:r>
          </w:p>
          <w:p>
            <w:pPr>
              <w:spacing w:line="240" w:lineRule="auto"/>
              <w:jc w:val="left"/>
              <w:rPr>
                <w:rFonts w:hint="default"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i w:val="0"/>
                <w:iCs w:val="0"/>
                <w:color w:val="000000"/>
                <w:kern w:val="0"/>
                <w:sz w:val="21"/>
                <w:szCs w:val="21"/>
                <w:u w:val="none"/>
                <w:lang w:val="en-US" w:eastAsia="zh-CN" w:bidi="ar"/>
              </w:rPr>
              <w:t>配置勒索拦截5台主机防护授权</w:t>
            </w: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灾备兼容性</w:t>
            </w:r>
          </w:p>
        </w:tc>
        <w:tc>
          <w:tcPr>
            <w:tcW w:w="6941" w:type="dxa"/>
            <w:shd w:val="clear" w:color="auto" w:fill="auto"/>
          </w:tcPr>
          <w:p>
            <w:pPr>
              <w:spacing w:line="240" w:lineRule="auto"/>
              <w:rPr>
                <w:rFonts w:hint="eastAsia" w:ascii="宋体" w:hAnsi="宋体" w:eastAsia="宋体" w:cs="宋体"/>
                <w:sz w:val="21"/>
                <w:szCs w:val="21"/>
                <w:vertAlign w:val="baseline"/>
                <w:lang w:eastAsia="zh-CN"/>
              </w:rPr>
            </w:pPr>
            <w:r>
              <w:rPr>
                <w:rFonts w:hint="eastAsia" w:ascii="宋体" w:hAnsi="宋体" w:eastAsia="宋体" w:cs="宋体"/>
                <w:sz w:val="21"/>
                <w:szCs w:val="21"/>
              </w:rPr>
              <w:t>提供对任意品牌技术的</w:t>
            </w:r>
            <w:r>
              <w:rPr>
                <w:rFonts w:hint="eastAsia" w:ascii="宋体" w:hAnsi="宋体" w:eastAsia="宋体" w:cs="宋体"/>
                <w:sz w:val="21"/>
                <w:szCs w:val="21"/>
                <w:lang w:val="en-US" w:eastAsia="zh-CN"/>
              </w:rPr>
              <w:t>物理服务器、超融合平台、虚拟化平台</w:t>
            </w:r>
            <w:r>
              <w:rPr>
                <w:rFonts w:hint="eastAsia" w:ascii="宋体" w:hAnsi="宋体" w:eastAsia="宋体" w:cs="宋体"/>
                <w:sz w:val="21"/>
                <w:szCs w:val="21"/>
              </w:rPr>
              <w:t>的灾备保护功能</w:t>
            </w:r>
            <w:r>
              <w:rPr>
                <w:rFonts w:hint="eastAsia" w:ascii="宋体" w:hAnsi="宋体" w:eastAsia="宋体" w:cs="宋体"/>
                <w:sz w:val="21"/>
                <w:szCs w:val="21"/>
                <w:lang w:eastAsia="zh-CN"/>
              </w:rPr>
              <w:t>，</w:t>
            </w:r>
            <w:r>
              <w:rPr>
                <w:rFonts w:hint="eastAsia" w:ascii="宋体" w:hAnsi="宋体" w:eastAsia="宋体" w:cs="宋体"/>
                <w:sz w:val="21"/>
                <w:szCs w:val="21"/>
              </w:rPr>
              <w:t>提供对Windows/Linux操作系统的灾备保护功能，满足对32/64位系统平台及应用支持。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rPr>
            </w:pPr>
          </w:p>
        </w:tc>
        <w:tc>
          <w:tcPr>
            <w:tcW w:w="6941" w:type="dxa"/>
            <w:shd w:val="clear" w:color="auto" w:fill="auto"/>
          </w:tcPr>
          <w:p>
            <w:pPr>
              <w:spacing w:line="240" w:lineRule="auto"/>
              <w:rPr>
                <w:rFonts w:hint="eastAsia" w:ascii="宋体" w:hAnsi="宋体" w:eastAsia="宋体" w:cs="宋体"/>
                <w:color w:val="000000"/>
                <w:sz w:val="21"/>
                <w:szCs w:val="21"/>
                <w:lang w:val="en-US" w:eastAsia="zh-CN"/>
              </w:rPr>
            </w:pPr>
            <w:r>
              <w:rPr>
                <w:rFonts w:hint="eastAsia" w:ascii="宋体" w:hAnsi="宋体" w:eastAsia="宋体" w:cs="宋体"/>
                <w:sz w:val="21"/>
                <w:szCs w:val="21"/>
              </w:rPr>
              <w:t>提供对运行在Windows Sever 2003及以上或Linux2.6.18及以上操作系统上的任意数据库的灾备保护；包括但不限于SQL Server、Oracle、Sybase、Exchange Server、Lotus Domino、DB2、MySQL、AD、MONGODB、达梦等数据库支持；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灾备性能</w:t>
            </w:r>
          </w:p>
        </w:tc>
        <w:tc>
          <w:tcPr>
            <w:tcW w:w="6941" w:type="dxa"/>
            <w:shd w:val="clear" w:color="auto" w:fill="auto"/>
          </w:tcPr>
          <w:p>
            <w:pPr>
              <w:spacing w:line="240" w:lineRule="auto"/>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lang w:val="en-US" w:eastAsia="zh-CN"/>
              </w:rPr>
              <w:t>支持</w:t>
            </w:r>
            <w:r>
              <w:rPr>
                <w:rFonts w:hint="eastAsia" w:ascii="宋体" w:hAnsi="宋体" w:eastAsia="宋体" w:cs="宋体"/>
                <w:color w:val="000000"/>
                <w:sz w:val="21"/>
                <w:szCs w:val="21"/>
              </w:rPr>
              <w:t>顺序IO的磁盘数据块复制技术，无需对数据类型、逻辑以及关联性解析，无需磁盘指针反复寻求备份数据，甚至面对非结构化数据、海量小文件时，仍可实现千兆网络环境下平均备份速度可达140MB/s，万兆网络平均备份速度1100MB/s。</w:t>
            </w:r>
            <w:r>
              <w:rPr>
                <w:rFonts w:hint="eastAsia" w:ascii="宋体" w:hAnsi="宋体" w:eastAsia="宋体" w:cs="宋体"/>
                <w:b/>
                <w:bCs/>
                <w:color w:val="000000"/>
                <w:sz w:val="21"/>
                <w:szCs w:val="21"/>
                <w:lang w:eastAsia="zh-Hans"/>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p>
        </w:tc>
        <w:tc>
          <w:tcPr>
            <w:tcW w:w="6941" w:type="dxa"/>
            <w:shd w:val="clear" w:color="auto" w:fill="auto"/>
          </w:tcPr>
          <w:p>
            <w:pPr>
              <w:spacing w:line="240" w:lineRule="auto"/>
              <w:jc w:val="left"/>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lang w:val="en-US" w:eastAsia="zh-CN"/>
              </w:rPr>
              <w:t>支持备份时通过灾备系统进行网络带宽占用限速、磁盘读写占用限速，以确保备份时对生产的影响小并且在可控范围内；</w:t>
            </w:r>
            <w:r>
              <w:rPr>
                <w:rFonts w:hint="eastAsia" w:ascii="宋体" w:hAnsi="宋体" w:eastAsia="宋体" w:cs="宋体"/>
                <w:b/>
                <w:bCs/>
                <w:color w:val="000000"/>
                <w:sz w:val="21"/>
                <w:szCs w:val="21"/>
                <w:lang w:eastAsia="zh-Hans"/>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CDP持续数据保护</w:t>
            </w:r>
          </w:p>
        </w:tc>
        <w:tc>
          <w:tcPr>
            <w:tcW w:w="6941" w:type="dxa"/>
            <w:shd w:val="clear" w:color="auto" w:fill="auto"/>
          </w:tcPr>
          <w:p>
            <w:pPr>
              <w:keepNext w:val="0"/>
              <w:keepLines w:val="0"/>
              <w:widowControl/>
              <w:numPr>
                <w:ilvl w:val="0"/>
                <w:numId w:val="0"/>
              </w:numPr>
              <w:suppressLineNumbers w:val="0"/>
              <w:spacing w:line="240" w:lineRule="auto"/>
              <w:jc w:val="left"/>
              <w:rPr>
                <w:rFonts w:hint="eastAsia" w:ascii="宋体" w:hAnsi="宋体" w:eastAsia="宋体" w:cs="宋体"/>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lang w:val="en-US" w:eastAsia="zh-CN"/>
              </w:rPr>
              <w:t>考虑到院内部分业务数据的写入量较为频繁，避免数据</w:t>
            </w:r>
            <w:r>
              <w:rPr>
                <w:rFonts w:hint="eastAsia" w:ascii="宋体" w:hAnsi="宋体" w:eastAsia="宋体" w:cs="宋体"/>
                <w:color w:val="000000"/>
                <w:sz w:val="21"/>
                <w:szCs w:val="21"/>
                <w:shd w:val="clear"/>
                <w:lang w:val="en-US" w:eastAsia="zh-CN"/>
              </w:rPr>
              <w:t>丢失较多，需支持CDP功能（无限制主机数量），</w:t>
            </w:r>
            <w:r>
              <w:rPr>
                <w:rFonts w:hint="eastAsia" w:ascii="宋体" w:hAnsi="宋体" w:eastAsia="宋体" w:cs="宋体"/>
                <w:sz w:val="21"/>
                <w:szCs w:val="21"/>
              </w:rPr>
              <w:t>提供对</w:t>
            </w:r>
            <w:r>
              <w:rPr>
                <w:rFonts w:hint="eastAsia" w:ascii="宋体" w:hAnsi="宋体" w:eastAsia="宋体" w:cs="宋体"/>
                <w:sz w:val="21"/>
                <w:szCs w:val="21"/>
                <w:lang w:val="en-US" w:eastAsia="zh-CN"/>
              </w:rPr>
              <w:t>我院</w:t>
            </w:r>
            <w:r>
              <w:rPr>
                <w:rFonts w:hint="eastAsia" w:ascii="宋体" w:hAnsi="宋体" w:eastAsia="宋体" w:cs="宋体"/>
                <w:sz w:val="21"/>
                <w:szCs w:val="21"/>
              </w:rPr>
              <w:t>物理主机、虚拟化主机、超融合主机提供</w:t>
            </w:r>
            <w:r>
              <w:rPr>
                <w:rFonts w:hint="eastAsia" w:ascii="宋体" w:hAnsi="宋体" w:eastAsia="宋体" w:cs="宋体"/>
                <w:kern w:val="0"/>
                <w:sz w:val="21"/>
                <w:szCs w:val="21"/>
              </w:rPr>
              <w:t>CDP持续数据保护，实时备份磁盘任意时刻的状态，备份时间粒度最小可达微秒级(百万分之一秒) 实现RPO趋近于0</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rPr>
            </w:pPr>
          </w:p>
        </w:tc>
        <w:tc>
          <w:tcPr>
            <w:tcW w:w="6941" w:type="dxa"/>
            <w:shd w:val="clear" w:color="auto" w:fill="auto"/>
          </w:tcPr>
          <w:p>
            <w:pPr>
              <w:tabs>
                <w:tab w:val="center" w:pos="666"/>
              </w:tabs>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vertAlign w:val="baseline"/>
                <w:lang w:val="en-US" w:eastAsia="zh-CN"/>
              </w:rPr>
              <w:t>为了避免CDP保护对主机性能的影响，进而影响我院正常业务开展，</w:t>
            </w:r>
            <w:r>
              <w:rPr>
                <w:rFonts w:hint="eastAsia" w:ascii="宋体" w:hAnsi="宋体" w:eastAsia="宋体" w:cs="宋体"/>
                <w:color w:val="000000"/>
                <w:sz w:val="21"/>
                <w:szCs w:val="21"/>
              </w:rPr>
              <w:t>CDP持续数据保护对被保护服务器性能影响小于1%；</w:t>
            </w:r>
            <w:r>
              <w:rPr>
                <w:rFonts w:hint="eastAsia" w:ascii="宋体" w:hAnsi="宋体" w:eastAsia="宋体" w:cs="宋体"/>
                <w:b/>
                <w:bCs/>
                <w:color w:val="000000"/>
                <w:sz w:val="21"/>
                <w:szCs w:val="21"/>
              </w:rPr>
              <w:t>（提供权威检测机构关于“CDP持续数据保护对被保护服务器性能影响小于1%”功能项的产品检测报告，并加盖原厂公章。）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备份数据一致性验证</w:t>
            </w:r>
          </w:p>
        </w:tc>
        <w:tc>
          <w:tcPr>
            <w:tcW w:w="6941" w:type="dxa"/>
            <w:shd w:val="clear" w:color="auto" w:fill="auto"/>
          </w:tcPr>
          <w:p>
            <w:pPr>
              <w:spacing w:line="240" w:lineRule="auto"/>
              <w:rPr>
                <w:rFonts w:hint="eastAsia" w:ascii="宋体" w:hAnsi="宋体" w:eastAsia="宋体" w:cs="宋体"/>
                <w:sz w:val="21"/>
                <w:szCs w:val="21"/>
                <w:vertAlign w:val="baseline"/>
              </w:rPr>
            </w:pPr>
            <w:r>
              <w:rPr>
                <w:rFonts w:hint="eastAsia" w:ascii="宋体" w:hAnsi="宋体" w:eastAsia="宋体" w:cs="宋体"/>
                <w:color w:val="000000"/>
                <w:sz w:val="21"/>
                <w:szCs w:val="21"/>
              </w:rPr>
              <w:t>可通过CIFS文件共享或网络共享在WEB浏览器中进行验证，管理员可在2分钟内确认被验证数据是否达到预期，是否完整、一致。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rPr>
            </w:pPr>
          </w:p>
        </w:tc>
        <w:tc>
          <w:tcPr>
            <w:tcW w:w="6941" w:type="dxa"/>
            <w:shd w:val="clear" w:color="auto" w:fill="auto"/>
          </w:tcPr>
          <w:p>
            <w:pPr>
              <w:spacing w:line="240" w:lineRule="auto"/>
              <w:rPr>
                <w:rFonts w:hint="eastAsia" w:ascii="宋体" w:hAnsi="宋体" w:eastAsia="宋体" w:cs="宋体"/>
                <w:sz w:val="21"/>
                <w:szCs w:val="21"/>
                <w:vertAlign w:val="baseline"/>
                <w:lang w:eastAsia="zh-CN"/>
              </w:rPr>
            </w:pPr>
            <w:r>
              <w:rPr>
                <w:rFonts w:hint="eastAsia" w:ascii="宋体" w:hAnsi="宋体" w:eastAsia="宋体" w:cs="宋体"/>
                <w:sz w:val="21"/>
                <w:szCs w:val="21"/>
              </w:rPr>
              <w:t>可自建隔离私有虚拟化验证环境，无论备份任务是否停止，</w:t>
            </w:r>
            <w:r>
              <w:rPr>
                <w:rFonts w:hint="eastAsia" w:ascii="宋体" w:hAnsi="宋体" w:eastAsia="宋体" w:cs="宋体"/>
                <w:sz w:val="21"/>
                <w:szCs w:val="21"/>
                <w:lang w:val="en-US" w:eastAsia="zh-CN"/>
              </w:rPr>
              <w:t>可</w:t>
            </w:r>
            <w:r>
              <w:rPr>
                <w:rFonts w:hint="eastAsia" w:ascii="宋体" w:hAnsi="宋体" w:eastAsia="宋体" w:cs="宋体"/>
                <w:sz w:val="21"/>
                <w:szCs w:val="21"/>
              </w:rPr>
              <w:t>选定验证的备份点整机启动，一键操作即可实现自动化构建虚拟化灾备验证环境，极简验证</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rPr>
            </w:pPr>
          </w:p>
        </w:tc>
        <w:tc>
          <w:tcPr>
            <w:tcW w:w="6941" w:type="dxa"/>
            <w:shd w:val="clear" w:color="auto" w:fill="auto"/>
          </w:tcPr>
          <w:p>
            <w:pPr>
              <w:tabs>
                <w:tab w:val="center" w:pos="666"/>
              </w:tabs>
              <w:spacing w:line="240" w:lineRule="auto"/>
              <w:jc w:val="left"/>
              <w:rPr>
                <w:rFonts w:hint="eastAsia" w:ascii="宋体" w:hAnsi="宋体" w:eastAsia="宋体" w:cs="宋体"/>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themeColor="text1"/>
                <w:kern w:val="2"/>
                <w:sz w:val="21"/>
                <w:szCs w:val="21"/>
                <w:lang w:val="en-US" w:eastAsia="zh-Hans" w:bidi="ar-SA"/>
                <w14:textFill>
                  <w14:solidFill>
                    <w14:schemeClr w14:val="tx1"/>
                  </w14:solidFill>
                </w14:textFill>
              </w:rPr>
              <w:t>为了保证备份数据的完整性以及勒索后方便快速的找到正常的备份点，需</w:t>
            </w:r>
            <w:r>
              <w:rPr>
                <w:rFonts w:hint="eastAsia" w:ascii="宋体" w:hAnsi="宋体" w:eastAsia="宋体" w:cs="宋体"/>
                <w:color w:val="000000"/>
                <w:sz w:val="21"/>
                <w:szCs w:val="21"/>
              </w:rPr>
              <w:t>支持同时针对一个备份点自动化构建多个虚拟化验证主机用于验证，也可基于多个备份点按照同一时间构建多个虚拟机用于极简验证</w:t>
            </w:r>
            <w:r>
              <w:rPr>
                <w:rFonts w:hint="eastAsia" w:ascii="宋体" w:hAnsi="宋体" w:eastAsia="宋体" w:cs="宋体"/>
                <w:color w:val="000000"/>
                <w:sz w:val="21"/>
                <w:szCs w:val="21"/>
                <w:lang w:eastAsia="zh-CN"/>
              </w:rPr>
              <w:t>；</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灾难应急演练</w:t>
            </w:r>
          </w:p>
        </w:tc>
        <w:tc>
          <w:tcPr>
            <w:tcW w:w="6941" w:type="dxa"/>
            <w:shd w:val="clear" w:color="auto" w:fill="auto"/>
          </w:tcPr>
          <w:p>
            <w:pPr>
              <w:spacing w:line="240" w:lineRule="auto"/>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为保障构建灾备系统具备真实灾备兜底能力，需要提供每年2次的灾备演练服务，演练时，演练目标机无需预置任何灾备演练环境（目标机无操作系统、目标机和原机操作系统不一致、目标机无应用系统、目标机无数据库等）可即时开展对指定业务模拟故障后自动化的灾备演练重建功能；</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（提供</w:t>
            </w:r>
            <w:r>
              <w:rPr>
                <w:rFonts w:hint="eastAsia" w:ascii="宋体" w:hAnsi="宋体" w:eastAsia="宋体" w:cs="宋体"/>
                <w:b/>
                <w:bCs/>
                <w:color w:val="000000" w:themeColor="text1"/>
                <w:kern w:val="2"/>
                <w:sz w:val="21"/>
                <w:szCs w:val="21"/>
                <w:lang w:val="en-US" w:eastAsia="zh-CN" w:bidi="ar-SA"/>
                <w14:textFill>
                  <w14:solidFill>
                    <w14:schemeClr w14:val="tx1"/>
                  </w14:solidFill>
                </w14:textFill>
              </w:rPr>
              <w:t>灾难演练承诺函</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p>
        </w:tc>
        <w:tc>
          <w:tcPr>
            <w:tcW w:w="6941" w:type="dxa"/>
            <w:shd w:val="clear" w:color="auto" w:fill="auto"/>
          </w:tcPr>
          <w:p>
            <w:pPr>
              <w:spacing w:line="240" w:lineRule="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rPr>
              <w:t>提供重要系统双机之间自动化灾备切换演练功能，支持双机主备模式，主机、备机之间支持异构|同构，规避生产数据中心单一平台故障瘫痪，可以实现P2P、P2V、P2C、V2P、V2V、V2C、C2C、C2P和C2V的主备切换演练；</w:t>
            </w:r>
            <w:r>
              <w:rPr>
                <w:rFonts w:hint="eastAsia" w:ascii="宋体" w:hAnsi="宋体" w:eastAsia="宋体" w:cs="宋体"/>
                <w:b/>
                <w:bCs/>
                <w:sz w:val="21"/>
                <w:szCs w:val="21"/>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应急接管容灾</w:t>
            </w:r>
          </w:p>
        </w:tc>
        <w:tc>
          <w:tcPr>
            <w:tcW w:w="6941" w:type="dxa"/>
            <w:shd w:val="clear" w:color="auto" w:fill="auto"/>
          </w:tcPr>
          <w:p>
            <w:pPr>
              <w:spacing w:line="240"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rPr>
              <w:t>提供对核心信息系统应急接管容灾，</w:t>
            </w:r>
            <w:r>
              <w:rPr>
                <w:rFonts w:hint="eastAsia" w:ascii="宋体" w:hAnsi="宋体" w:eastAsia="宋体" w:cs="宋体"/>
                <w:color w:val="000000" w:themeColor="text1"/>
                <w:kern w:val="2"/>
                <w:sz w:val="21"/>
                <w:szCs w:val="21"/>
                <w:lang w:val="en-US" w:eastAsia="zh-CN" w:bidi="ar-SA"/>
                <w14:textFill>
                  <w14:solidFill>
                    <w14:schemeClr w14:val="tx1"/>
                  </w14:solidFill>
                </w14:textFill>
              </w:rPr>
              <w:t>无需另配置容灾主机，灾备系统可自建应急容灾虚拟主机，无需集成/配置第三方虚拟化平台，降低因虚拟化平台兼容性而导致的容灾风险</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（提供产品操作截图证明，并加盖原厂公章）</w:t>
            </w:r>
            <w:r>
              <w:rPr>
                <w:rFonts w:hint="eastAsia" w:ascii="宋体" w:hAnsi="宋体" w:eastAsia="宋体" w:cs="宋体"/>
                <w:color w:val="000000" w:themeColor="text1"/>
                <w:kern w:val="2"/>
                <w:sz w:val="21"/>
                <w:szCs w:val="21"/>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p>
        </w:tc>
        <w:tc>
          <w:tcPr>
            <w:tcW w:w="6941" w:type="dxa"/>
            <w:shd w:val="clear" w:color="auto" w:fill="auto"/>
          </w:tcPr>
          <w:p>
            <w:pPr>
              <w:tabs>
                <w:tab w:val="center" w:pos="666"/>
              </w:tabs>
              <w:jc w:val="left"/>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rPr>
              <w:t>支持对应急接管主机执行即刻开始的增量CDP持续数据保护，应急接管新增的数据会形成备份点可用于灾难恢复</w:t>
            </w:r>
            <w:r>
              <w:rPr>
                <w:rFonts w:hint="eastAsia" w:ascii="宋体" w:hAnsi="宋体" w:eastAsia="宋体" w:cs="宋体"/>
                <w:color w:val="000000"/>
                <w:sz w:val="21"/>
                <w:szCs w:val="21"/>
                <w:lang w:eastAsia="zh-CN"/>
              </w:rPr>
              <w:t>；</w:t>
            </w:r>
            <w:r>
              <w:rPr>
                <w:rFonts w:hint="eastAsia" w:ascii="宋体" w:hAnsi="宋体" w:eastAsia="宋体" w:cs="宋体"/>
                <w:b/>
                <w:bCs/>
                <w:color w:val="000000"/>
                <w:sz w:val="21"/>
                <w:szCs w:val="21"/>
              </w:rPr>
              <w:t>（提供权威检测机构关于“</w:t>
            </w:r>
            <w:r>
              <w:rPr>
                <w:rFonts w:hint="eastAsia" w:ascii="宋体" w:hAnsi="宋体" w:eastAsia="宋体" w:cs="宋体"/>
                <w:b/>
                <w:bCs/>
                <w:color w:val="000000"/>
                <w:sz w:val="21"/>
                <w:szCs w:val="21"/>
                <w:lang w:val="en-US" w:eastAsia="zh-CN"/>
              </w:rPr>
              <w:t>支持应急接管主机立即增量CDP保护</w:t>
            </w:r>
            <w:r>
              <w:rPr>
                <w:rFonts w:hint="eastAsia" w:ascii="宋体" w:hAnsi="宋体" w:eastAsia="宋体" w:cs="宋体"/>
                <w:b/>
                <w:bCs/>
                <w:color w:val="000000"/>
                <w:sz w:val="21"/>
                <w:szCs w:val="21"/>
              </w:rPr>
              <w:t>”功能项的产品检测报告，并加盖原厂公章）</w:t>
            </w:r>
            <w:r>
              <w:rPr>
                <w:rFonts w:hint="eastAsia" w:ascii="宋体" w:hAnsi="宋体" w:eastAsia="宋体" w:cs="宋体"/>
                <w:b/>
                <w:bCs/>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p>
        </w:tc>
        <w:tc>
          <w:tcPr>
            <w:tcW w:w="6941" w:type="dxa"/>
            <w:shd w:val="clear" w:color="auto" w:fill="auto"/>
          </w:tcPr>
          <w:p>
            <w:pPr>
              <w:tabs>
                <w:tab w:val="center" w:pos="666"/>
              </w:tabs>
              <w:jc w:val="left"/>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sz w:val="21"/>
                <w:szCs w:val="21"/>
              </w:rPr>
              <w:t>支持对基于共享存储的集群数据库和应用提供应急接管，自动化配置集群网卡、聚合网卡参数</w:t>
            </w:r>
            <w:r>
              <w:rPr>
                <w:rFonts w:hint="eastAsia" w:ascii="宋体" w:hAnsi="宋体" w:eastAsia="宋体" w:cs="宋体"/>
                <w:color w:val="000000"/>
                <w:sz w:val="21"/>
                <w:szCs w:val="21"/>
                <w:lang w:eastAsia="zh-CN"/>
              </w:rPr>
              <w:t>；</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p>
        </w:tc>
        <w:tc>
          <w:tcPr>
            <w:tcW w:w="6941" w:type="dxa"/>
            <w:shd w:val="clear" w:color="auto" w:fill="auto"/>
          </w:tcPr>
          <w:p>
            <w:pPr>
              <w:tabs>
                <w:tab w:val="center" w:pos="666"/>
              </w:tabs>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rPr>
              <w:t>应急</w:t>
            </w:r>
            <w:r>
              <w:rPr>
                <w:rFonts w:hint="eastAsia" w:ascii="宋体" w:hAnsi="宋体" w:eastAsia="宋体" w:cs="宋体"/>
                <w:sz w:val="21"/>
                <w:szCs w:val="21"/>
                <w:lang w:val="en-US" w:eastAsia="zh-CN"/>
              </w:rPr>
              <w:t>接管</w:t>
            </w:r>
            <w:r>
              <w:rPr>
                <w:rFonts w:hint="eastAsia" w:ascii="宋体" w:hAnsi="宋体" w:eastAsia="宋体" w:cs="宋体"/>
                <w:sz w:val="21"/>
                <w:szCs w:val="21"/>
              </w:rPr>
              <w:t>容灾时，可同时配置将容灾主机整机回迁至原生产环境的相关参数，应急容灾期间整机包含新增数据的无缝回迁至生产环境主机，应急容灾结束后择机可秒级回切至生产环境</w:t>
            </w:r>
            <w:r>
              <w:rPr>
                <w:rFonts w:hint="eastAsia" w:ascii="宋体" w:hAnsi="宋体" w:eastAsia="宋体" w:cs="宋体"/>
                <w:b/>
                <w:bCs/>
                <w:sz w:val="21"/>
                <w:szCs w:val="21"/>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快速恢复容灾</w:t>
            </w:r>
          </w:p>
        </w:tc>
        <w:tc>
          <w:tcPr>
            <w:tcW w:w="6941" w:type="dxa"/>
            <w:shd w:val="clear" w:color="auto" w:fill="auto"/>
          </w:tcPr>
          <w:p>
            <w:pPr>
              <w:tabs>
                <w:tab w:val="center" w:pos="666"/>
              </w:tabs>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vertAlign w:val="baseline"/>
              </w:rPr>
              <w:t>支持整机全场景恢复，无需部署配置操作系统、应用和数据库等系统环境，实现全场景带业务逻辑的整机灾难重建，无需人工手动安装驱动、更改注册表信息、应用配置信息等，极大降低灾难重建恢复难度和效率</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（提供产品操作截图证明，并加盖原厂公章）；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p>
        </w:tc>
        <w:tc>
          <w:tcPr>
            <w:tcW w:w="6941" w:type="dxa"/>
            <w:shd w:val="clear" w:color="auto" w:fill="auto"/>
          </w:tcPr>
          <w:p>
            <w:pPr>
              <w:tabs>
                <w:tab w:val="center" w:pos="666"/>
              </w:tabs>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rPr>
              <w:t>千兆网络环境中，无需预置灾备演练或灾难恢复环境，无论数据量大小，支持15分钟内将应用系统灾备点重建至目标主机上，实现业务服务恢复</w:t>
            </w:r>
            <w:r>
              <w:rPr>
                <w:rFonts w:hint="eastAsia" w:ascii="宋体" w:hAnsi="宋体" w:eastAsia="宋体" w:cs="宋体"/>
                <w:color w:val="000000"/>
                <w:sz w:val="21"/>
                <w:szCs w:val="21"/>
                <w:lang w:eastAsia="zh-CN"/>
              </w:rPr>
              <w:t>。</w:t>
            </w:r>
            <w:r>
              <w:rPr>
                <w:rFonts w:hint="eastAsia" w:ascii="宋体" w:hAnsi="宋体" w:eastAsia="宋体" w:cs="宋体"/>
                <w:b/>
                <w:bCs/>
                <w:color w:val="000000"/>
                <w:sz w:val="21"/>
                <w:szCs w:val="21"/>
                <w:highlight w:val="none"/>
              </w:rPr>
              <w:t>（提供权威检测机构关于“</w:t>
            </w:r>
            <w:r>
              <w:rPr>
                <w:rFonts w:hint="eastAsia" w:ascii="宋体" w:hAnsi="宋体" w:eastAsia="宋体" w:cs="宋体"/>
                <w:b/>
                <w:bCs/>
                <w:color w:val="000000"/>
                <w:sz w:val="21"/>
                <w:szCs w:val="21"/>
                <w:highlight w:val="none"/>
                <w:lang w:val="en-US" w:eastAsia="zh-CN"/>
              </w:rPr>
              <w:t>15分钟灾难恢复重建</w:t>
            </w:r>
            <w:r>
              <w:rPr>
                <w:rFonts w:hint="eastAsia" w:ascii="宋体" w:hAnsi="宋体" w:eastAsia="宋体" w:cs="宋体"/>
                <w:b/>
                <w:bCs/>
                <w:color w:val="000000"/>
                <w:sz w:val="21"/>
                <w:szCs w:val="21"/>
                <w:highlight w:val="none"/>
              </w:rPr>
              <w:t>”功能项的产品检测报告，并加盖原厂公章。）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restart"/>
            <w:shd w:val="clear" w:color="auto" w:fill="auto"/>
            <w:vAlign w:val="center"/>
          </w:tcPr>
          <w:p>
            <w:pPr>
              <w:tabs>
                <w:tab w:val="center" w:pos="666"/>
              </w:tabs>
              <w:spacing w:line="240" w:lineRule="auto"/>
              <w:jc w:val="left"/>
              <w:rPr>
                <w:rFonts w:hint="eastAsia" w:ascii="宋体" w:hAnsi="宋体" w:eastAsia="宋体" w:cs="宋体"/>
                <w:sz w:val="21"/>
                <w:szCs w:val="21"/>
                <w:vertAlign w:val="baseline"/>
                <w:lang w:eastAsia="zh-CN"/>
              </w:rPr>
            </w:pPr>
            <w:r>
              <w:rPr>
                <w:rFonts w:hint="eastAsia" w:ascii="宋体" w:hAnsi="宋体" w:eastAsia="宋体" w:cs="宋体"/>
                <w:color w:val="000000"/>
                <w:sz w:val="21"/>
                <w:szCs w:val="21"/>
              </w:rPr>
              <w:t>异构</w:t>
            </w:r>
            <w:r>
              <w:rPr>
                <w:rFonts w:hint="eastAsia" w:ascii="宋体" w:hAnsi="宋体" w:eastAsia="宋体" w:cs="宋体"/>
                <w:color w:val="000000"/>
                <w:sz w:val="21"/>
                <w:szCs w:val="21"/>
                <w:lang w:val="en-US" w:eastAsia="zh-CN"/>
              </w:rPr>
              <w:t>兼容性</w:t>
            </w:r>
          </w:p>
        </w:tc>
        <w:tc>
          <w:tcPr>
            <w:tcW w:w="6941" w:type="dxa"/>
            <w:shd w:val="clear" w:color="auto" w:fill="auto"/>
            <w:vAlign w:val="center"/>
          </w:tcPr>
          <w:p>
            <w:pPr>
              <w:tabs>
                <w:tab w:val="center" w:pos="666"/>
              </w:tabs>
              <w:spacing w:line="240" w:lineRule="auto"/>
              <w:jc w:val="left"/>
              <w:rPr>
                <w:rFonts w:hint="eastAsia" w:ascii="宋体" w:hAnsi="宋体" w:eastAsia="宋体" w:cs="宋体"/>
                <w:sz w:val="21"/>
                <w:szCs w:val="21"/>
                <w:vertAlign w:val="baseline"/>
              </w:rPr>
            </w:pPr>
            <w:r>
              <w:rPr>
                <w:rFonts w:hint="eastAsia" w:ascii="宋体" w:hAnsi="宋体" w:eastAsia="宋体" w:cs="宋体"/>
                <w:color w:val="000000"/>
                <w:sz w:val="21"/>
                <w:szCs w:val="21"/>
              </w:rPr>
              <w:t>源主机和异构目标机（X86物理机、虚拟机和云主机）灾难重建时自动完成适配驱动兼容适配，无需人工干预即可完成异构主机间灾难重建。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tabs>
                <w:tab w:val="center" w:pos="666"/>
              </w:tabs>
              <w:spacing w:line="240" w:lineRule="auto"/>
              <w:jc w:val="left"/>
              <w:rPr>
                <w:rFonts w:hint="eastAsia" w:ascii="宋体" w:hAnsi="宋体" w:eastAsia="宋体" w:cs="宋体"/>
                <w:sz w:val="21"/>
                <w:szCs w:val="21"/>
                <w:vertAlign w:val="baseline"/>
              </w:rPr>
            </w:pPr>
          </w:p>
        </w:tc>
        <w:tc>
          <w:tcPr>
            <w:tcW w:w="6941" w:type="dxa"/>
            <w:shd w:val="clear" w:color="auto" w:fill="auto"/>
            <w:vAlign w:val="center"/>
          </w:tcPr>
          <w:p>
            <w:pPr>
              <w:tabs>
                <w:tab w:val="center" w:pos="666"/>
              </w:tabs>
              <w:spacing w:line="240" w:lineRule="auto"/>
              <w:jc w:val="left"/>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sz w:val="21"/>
                <w:szCs w:val="21"/>
              </w:rPr>
              <w:t>可在灾备系统的Web控制台上为目标机做各种必要的配置（差异硬件驱动配置、系统IP/路由配置和脚本配置），实现任意品牌/技术的X86服务器、虚拟机和云主机之间的异构自动化灾难重建。</w:t>
            </w:r>
            <w:r>
              <w:rPr>
                <w:rFonts w:hint="eastAsia" w:ascii="宋体" w:hAnsi="宋体" w:eastAsia="宋体" w:cs="宋体"/>
                <w:b/>
                <w:bCs/>
                <w:color w:val="000000"/>
                <w:sz w:val="21"/>
                <w:szCs w:val="21"/>
                <w:highlight w:val="none"/>
              </w:rPr>
              <w:t>（提供权威检测机构关于“</w:t>
            </w:r>
            <w:r>
              <w:rPr>
                <w:rFonts w:hint="eastAsia" w:ascii="宋体" w:hAnsi="宋体" w:eastAsia="宋体" w:cs="宋体"/>
                <w:b/>
                <w:bCs/>
                <w:color w:val="000000"/>
                <w:sz w:val="21"/>
                <w:szCs w:val="21"/>
                <w:highlight w:val="none"/>
                <w:lang w:val="en-US" w:eastAsia="zh-CN"/>
              </w:rPr>
              <w:t>异构自动化灾难重建</w:t>
            </w:r>
            <w:r>
              <w:rPr>
                <w:rFonts w:hint="eastAsia" w:ascii="宋体" w:hAnsi="宋体" w:eastAsia="宋体" w:cs="宋体"/>
                <w:b/>
                <w:bCs/>
                <w:color w:val="000000"/>
                <w:sz w:val="21"/>
                <w:szCs w:val="21"/>
                <w:highlight w:val="none"/>
              </w:rPr>
              <w:t>”功能项的产品检测报告，并加盖原厂公章。）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自身安全性</w:t>
            </w:r>
          </w:p>
        </w:tc>
        <w:tc>
          <w:tcPr>
            <w:tcW w:w="6941" w:type="dxa"/>
            <w:shd w:val="clear" w:color="auto" w:fill="auto"/>
          </w:tcPr>
          <w:p>
            <w:pPr>
              <w:spacing w:line="240" w:lineRule="auto"/>
              <w:rPr>
                <w:rFonts w:hint="eastAsia" w:ascii="宋体" w:hAnsi="宋体" w:eastAsia="宋体" w:cs="宋体"/>
                <w:sz w:val="21"/>
                <w:szCs w:val="21"/>
                <w:vertAlign w:val="baseline"/>
              </w:rPr>
            </w:pPr>
            <w:r>
              <w:rPr>
                <w:rFonts w:hint="eastAsia" w:ascii="宋体" w:hAnsi="宋体" w:eastAsia="宋体" w:cs="宋体"/>
                <w:sz w:val="21"/>
                <w:szCs w:val="21"/>
                <w:lang w:eastAsia="zh-Hans"/>
              </w:rPr>
              <w:t>网络</w:t>
            </w:r>
            <w:r>
              <w:rPr>
                <w:rFonts w:hint="eastAsia" w:ascii="宋体" w:hAnsi="宋体" w:eastAsia="宋体" w:cs="宋体"/>
                <w:sz w:val="21"/>
                <w:szCs w:val="21"/>
              </w:rPr>
              <w:t>可</w:t>
            </w:r>
            <w:r>
              <w:rPr>
                <w:rFonts w:hint="eastAsia" w:ascii="宋体" w:hAnsi="宋体" w:eastAsia="宋体" w:cs="宋体"/>
                <w:sz w:val="21"/>
                <w:szCs w:val="21"/>
                <w:lang w:eastAsia="zh-Hans"/>
              </w:rPr>
              <w:t>配置“网卡自动关闭/定时开启策略”，还可将除备份数据传输端口外的SSH、网络访问等网络端口全部关闭，杜绝除传输备份数据流之外一切网络访问的可能，降低灾备系统被攻击的概率；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eastAsia" w:ascii="宋体" w:hAnsi="宋体" w:eastAsia="宋体" w:cs="宋体"/>
                <w:sz w:val="21"/>
                <w:szCs w:val="21"/>
                <w:vertAlign w:val="baseline"/>
              </w:rPr>
            </w:pPr>
          </w:p>
        </w:tc>
        <w:tc>
          <w:tcPr>
            <w:tcW w:w="6941" w:type="dxa"/>
            <w:shd w:val="clear" w:color="auto" w:fill="auto"/>
          </w:tcPr>
          <w:p>
            <w:pPr>
              <w:spacing w:line="240" w:lineRule="auto"/>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color w:val="000000" w:themeColor="text1"/>
                <w:kern w:val="2"/>
                <w:sz w:val="21"/>
                <w:szCs w:val="21"/>
                <w:lang w:val="en-US" w:eastAsia="zh-Hans" w:bidi="ar-SA"/>
                <w14:textFill>
                  <w14:solidFill>
                    <w14:schemeClr w14:val="tx1"/>
                  </w14:solidFill>
                </w14:textFill>
              </w:rPr>
              <w:t>备份系统的专用嵌入式操作系统维护后台采用动态口令机制，动态口令由设备管理员和原厂口</w:t>
            </w:r>
            <w:r>
              <w:rPr>
                <w:rFonts w:hint="eastAsia" w:ascii="宋体" w:hAnsi="宋体" w:eastAsia="宋体" w:cs="宋体"/>
                <w:color w:val="000000" w:themeColor="text1"/>
                <w:kern w:val="2"/>
                <w:sz w:val="21"/>
                <w:szCs w:val="21"/>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lang w:val="en-US" w:eastAsia="zh-Hans" w:bidi="ar-SA"/>
                <w14:textFill>
                  <w14:solidFill>
                    <w14:schemeClr w14:val="tx1"/>
                  </w14:solidFill>
                </w14:textFill>
              </w:rPr>
              <w:t>令组成，原厂口令随着设备管理员的改密码操作而变化，确保系统后台密码都是唯一的，减少被攻破的可能性</w:t>
            </w:r>
            <w:r>
              <w:rPr>
                <w:rFonts w:hint="eastAsia" w:ascii="宋体" w:hAnsi="宋体" w:eastAsia="宋体" w:cs="宋体"/>
                <w:b/>
                <w:bCs/>
                <w:color w:val="000000" w:themeColor="text1"/>
                <w:kern w:val="2"/>
                <w:sz w:val="21"/>
                <w:szCs w:val="21"/>
                <w:lang w:val="en-US" w:eastAsia="zh-Hans" w:bidi="ar-SA"/>
                <w14:textFill>
                  <w14:solidFill>
                    <w14:schemeClr w14:val="tx1"/>
                  </w14:solidFill>
                </w14:textFill>
              </w:rPr>
              <w:t>（提供产品操作截图证明，并加盖原厂公章）</w:t>
            </w:r>
            <w:r>
              <w:rPr>
                <w:rFonts w:hint="eastAsia" w:ascii="宋体" w:hAnsi="宋体" w:eastAsia="宋体" w:cs="宋体"/>
                <w:color w:val="000000" w:themeColor="text1"/>
                <w:kern w:val="2"/>
                <w:sz w:val="21"/>
                <w:szCs w:val="21"/>
                <w:lang w:val="en-US" w:eastAsia="zh-Hans"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shd w:val="clear" w:color="auto" w:fill="auto"/>
            <w:vAlign w:val="center"/>
          </w:tcPr>
          <w:p>
            <w:pPr>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勒索防护</w:t>
            </w:r>
          </w:p>
        </w:tc>
        <w:tc>
          <w:tcPr>
            <w:tcW w:w="6941" w:type="dxa"/>
            <w:shd w:val="clear" w:color="auto" w:fill="auto"/>
          </w:tcPr>
          <w:p>
            <w:pPr>
              <w:spacing w:line="240" w:lineRule="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▲支持对使用磁盘和卷级别的扇区级加密技术的防勒索防护保护，杜绝勒索病毒技术从文件级升级为卷和磁盘级维度的加密勒索风险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default" w:ascii="宋体" w:hAnsi="宋体" w:eastAsia="宋体" w:cs="宋体"/>
                <w:sz w:val="21"/>
                <w:szCs w:val="21"/>
                <w:vertAlign w:val="baseline"/>
                <w:lang w:val="en-US" w:eastAsia="zh-CN"/>
              </w:rPr>
            </w:pPr>
          </w:p>
        </w:tc>
        <w:tc>
          <w:tcPr>
            <w:tcW w:w="6941" w:type="dxa"/>
            <w:shd w:val="clear" w:color="auto" w:fill="auto"/>
          </w:tcPr>
          <w:p>
            <w:pPr>
              <w:spacing w:line="240" w:lineRule="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持对勒索病毒的主动诱发、捕获，通过服务端隔离区伪装数据诱发潜伏的已知/未知勒索病毒的勒索攻击行为，可联合服务端获取勒索病毒特征、可信代码级DNA特征库，自动封锁高危/未知勒索病毒进程和加密行为，进行告警和防勒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default" w:ascii="宋体" w:hAnsi="宋体" w:eastAsia="宋体" w:cs="宋体"/>
                <w:sz w:val="21"/>
                <w:szCs w:val="21"/>
                <w:vertAlign w:val="baseline"/>
                <w:lang w:val="en-US" w:eastAsia="zh-CN"/>
              </w:rPr>
            </w:pPr>
          </w:p>
        </w:tc>
        <w:tc>
          <w:tcPr>
            <w:tcW w:w="6941" w:type="dxa"/>
            <w:shd w:val="clear" w:color="auto" w:fill="auto"/>
          </w:tcPr>
          <w:p>
            <w:pPr>
              <w:spacing w:line="240" w:lineRule="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安全事件处理界面，支持对客户端产生的各种安全事件进行二次集中手动处理，处理方式包括：阻止操作、阻止并隔离、从隔离区还原、后续处理。（提供针对该功能的权威第三方产品检测报告，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shd w:val="clear" w:color="auto" w:fill="auto"/>
            <w:vAlign w:val="center"/>
          </w:tcPr>
          <w:p>
            <w:pPr>
              <w:spacing w:line="240" w:lineRule="auto"/>
              <w:jc w:val="center"/>
              <w:rPr>
                <w:rFonts w:hint="default" w:ascii="宋体" w:hAnsi="宋体" w:eastAsia="宋体" w:cs="宋体"/>
                <w:sz w:val="21"/>
                <w:szCs w:val="21"/>
                <w:vertAlign w:val="baseline"/>
                <w:lang w:val="en-US" w:eastAsia="zh-CN"/>
              </w:rPr>
            </w:pPr>
          </w:p>
        </w:tc>
        <w:tc>
          <w:tcPr>
            <w:tcW w:w="6941" w:type="dxa"/>
            <w:shd w:val="clear" w:color="auto" w:fill="auto"/>
          </w:tcPr>
          <w:p>
            <w:pPr>
              <w:spacing w:line="240" w:lineRule="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当在某个主机上发现诸如已知勒索病毒、未知勒索病毒、高频检测出可信安全区的安全风险、操作系统被入侵导致勒索拦截客户端工作异常、文件出现异常删除改名/改写等情形时，即触发灾备系统联动，联动效果为立即锁定磁盘此刻状态，即刻进行数据复制和CDP保护(提供截图证明材料以及联动响应原厂承诺函，并加盖原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56" w:type="dxa"/>
            <w:shd w:val="clear" w:color="auto" w:fill="auto"/>
            <w:vAlign w:val="center"/>
          </w:tcPr>
          <w:p>
            <w:pPr>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可视化管理</w:t>
            </w:r>
          </w:p>
        </w:tc>
        <w:tc>
          <w:tcPr>
            <w:tcW w:w="6941" w:type="dxa"/>
            <w:shd w:val="clear" w:color="auto" w:fill="auto"/>
          </w:tcPr>
          <w:p>
            <w:pPr>
              <w:jc w:val="left"/>
              <w:rPr>
                <w:rFonts w:hint="eastAsia" w:ascii="宋体" w:hAnsi="宋体" w:eastAsia="宋体" w:cs="宋体"/>
                <w:sz w:val="21"/>
                <w:szCs w:val="21"/>
                <w:vertAlign w:val="baseline"/>
              </w:rPr>
            </w:pPr>
            <w:r>
              <w:rPr>
                <w:rFonts w:hint="eastAsia" w:ascii="宋体" w:hAnsi="宋体" w:eastAsia="宋体" w:cs="宋体"/>
                <w:sz w:val="21"/>
                <w:szCs w:val="21"/>
              </w:rPr>
              <w:t>支持以图形或WEB方式进行批量操作管理，包括在管理范围内设备的状态和性能信息、各种数据保护参数、各种备份作业的设置信息、各种备份/恢复作业的执行状态统计信息、各种备份业务数据的相关信息等。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未来扩展需求</w:t>
            </w:r>
          </w:p>
        </w:tc>
        <w:tc>
          <w:tcPr>
            <w:tcW w:w="6941" w:type="dxa"/>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▲考虑到我院未来国产化建设需求，本次建设产品需要满足</w:t>
            </w:r>
            <w:r>
              <w:rPr>
                <w:rFonts w:hint="eastAsia" w:ascii="宋体" w:hAnsi="宋体" w:eastAsia="宋体" w:cs="宋体"/>
                <w:sz w:val="21"/>
                <w:szCs w:val="21"/>
                <w:lang w:val="en-US" w:eastAsia="zh-CN"/>
              </w:rPr>
              <w:t>可扩展一云多芯架构，将C86、X86、ARM等不同CPU架构服务器组成同一个分布式架构容灾云，为国产和非国产应用提供统一灾备保护以及混合架构容灾资源提供</w:t>
            </w:r>
            <w:r>
              <w:rPr>
                <w:rFonts w:hint="eastAsia" w:ascii="宋体" w:hAnsi="宋体" w:eastAsia="宋体" w:cs="宋体"/>
                <w:i w:val="0"/>
                <w:iCs w:val="0"/>
                <w:color w:val="000000"/>
                <w:kern w:val="0"/>
                <w:sz w:val="21"/>
                <w:szCs w:val="21"/>
                <w:u w:val="none"/>
                <w:lang w:val="en-US" w:eastAsia="zh-CN" w:bidi="ar"/>
              </w:rPr>
              <w:t>(提供截图证明材料</w:t>
            </w:r>
            <w:r>
              <w:rPr>
                <w:rFonts w:hint="eastAsia" w:ascii="宋体" w:hAnsi="宋体" w:eastAsia="宋体" w:cs="宋体"/>
                <w:i w:val="0"/>
                <w:iCs w:val="0"/>
                <w:color w:val="000000"/>
                <w:kern w:val="0"/>
                <w:sz w:val="21"/>
                <w:szCs w:val="21"/>
                <w:u w:val="none"/>
                <w:lang w:val="en-US" w:eastAsia="zh-Hans" w:bidi="ar"/>
              </w:rPr>
              <w:t>以及</w:t>
            </w:r>
            <w:r>
              <w:rPr>
                <w:rFonts w:hint="eastAsia" w:ascii="宋体" w:hAnsi="宋体" w:eastAsia="宋体" w:cs="宋体"/>
                <w:i w:val="0"/>
                <w:iCs w:val="0"/>
                <w:color w:val="000000"/>
                <w:kern w:val="0"/>
                <w:sz w:val="21"/>
                <w:szCs w:val="21"/>
                <w:u w:val="none"/>
                <w:lang w:val="en-US" w:eastAsia="zh-CN" w:bidi="ar"/>
              </w:rPr>
              <w:t>可扩展一云多芯架构</w:t>
            </w:r>
            <w:r>
              <w:rPr>
                <w:rFonts w:hint="eastAsia" w:ascii="宋体" w:hAnsi="宋体" w:eastAsia="宋体" w:cs="宋体"/>
                <w:i w:val="0"/>
                <w:iCs w:val="0"/>
                <w:color w:val="000000"/>
                <w:kern w:val="0"/>
                <w:sz w:val="21"/>
                <w:szCs w:val="21"/>
                <w:u w:val="none"/>
                <w:lang w:val="en-US" w:eastAsia="zh-Hans" w:bidi="ar"/>
              </w:rPr>
              <w:t>原厂承诺函</w:t>
            </w:r>
            <w:r>
              <w:rPr>
                <w:rFonts w:hint="eastAsia" w:ascii="宋体" w:hAnsi="宋体" w:eastAsia="宋体" w:cs="宋体"/>
                <w:i w:val="0"/>
                <w:iCs w:val="0"/>
                <w:color w:val="000000"/>
                <w:kern w:val="0"/>
                <w:sz w:val="21"/>
                <w:szCs w:val="21"/>
                <w:u w:val="none"/>
                <w:lang w:val="en-US" w:eastAsia="zh-CN" w:bidi="ar"/>
              </w:rPr>
              <w:t xml:space="preserve">，并加盖原公章)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产品资质</w:t>
            </w:r>
          </w:p>
        </w:tc>
        <w:tc>
          <w:tcPr>
            <w:tcW w:w="6941" w:type="dxa"/>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▲厂家自主研发，拥有完整知识产权，非OEM，国内品牌产品。（提供产品操作截图证明，并加盖原厂公章）</w:t>
            </w:r>
          </w:p>
        </w:tc>
      </w:tr>
    </w:tbl>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rPr>
          <w:rFonts w:hint="eastAsia"/>
          <w:lang w:val="en-US" w:eastAsia="zh-CN"/>
        </w:rPr>
      </w:pPr>
    </w:p>
    <w:p>
      <w:pPr>
        <w:pStyle w:val="2"/>
        <w:keepNext/>
        <w:keepLines/>
        <w:pageBreakBefore w:val="0"/>
        <w:widowControl w:val="0"/>
        <w:kinsoku/>
        <w:wordWrap/>
        <w:overflowPunct/>
        <w:topLinePunct w:val="0"/>
        <w:autoSpaceDE/>
        <w:autoSpaceDN/>
        <w:bidi w:val="0"/>
        <w:adjustRightInd/>
        <w:snapToGrid/>
        <w:spacing w:before="200" w:after="200"/>
        <w:textAlignment w:val="auto"/>
        <w:rPr>
          <w:rFonts w:hint="eastAsia"/>
          <w:lang w:val="en-US" w:eastAsia="zh-CN"/>
        </w:rPr>
      </w:pPr>
      <w:r>
        <w:rPr>
          <w:rFonts w:hint="eastAsia"/>
          <w:b/>
          <w:sz w:val="36"/>
          <w:szCs w:val="21"/>
          <w:lang w:val="en-US" w:eastAsia="zh-CN"/>
        </w:rPr>
        <w:t>3.评分标准</w:t>
      </w:r>
    </w:p>
    <w:tbl>
      <w:tblPr>
        <w:tblStyle w:val="7"/>
        <w:tblW w:w="0" w:type="auto"/>
        <w:tblInd w:w="-26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2"/>
        <w:gridCol w:w="2307"/>
        <w:gridCol w:w="5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tcPr>
          <w:p>
            <w:pPr>
              <w:jc w:val="center"/>
            </w:pPr>
            <w:r>
              <w:t>评审因素</w:t>
            </w:r>
          </w:p>
        </w:tc>
        <w:tc>
          <w:tcPr>
            <w:tcW w:w="7383" w:type="dxa"/>
            <w:gridSpan w:val="2"/>
          </w:tcPr>
          <w:p>
            <w:pPr>
              <w:jc w:val="center"/>
            </w:pPr>
            <w: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tcPr>
          <w:p>
            <w:pPr>
              <w:jc w:val="center"/>
            </w:pPr>
            <w:r>
              <w:t>分值构成</w:t>
            </w:r>
          </w:p>
        </w:tc>
        <w:tc>
          <w:tcPr>
            <w:tcW w:w="7383" w:type="dxa"/>
            <w:gridSpan w:val="2"/>
          </w:tcPr>
          <w:p>
            <w:r>
              <w:t>商务部分</w:t>
            </w:r>
            <w:r>
              <w:rPr>
                <w:rFonts w:hint="eastAsia"/>
                <w:lang w:val="en-US" w:eastAsia="zh-CN"/>
              </w:rPr>
              <w:t>20</w:t>
            </w:r>
            <w:r>
              <w:t>.0分</w:t>
            </w:r>
          </w:p>
          <w:p>
            <w:r>
              <w:t>技术部分</w:t>
            </w:r>
            <w:r>
              <w:rPr>
                <w:rFonts w:hint="eastAsia"/>
                <w:lang w:val="en-US" w:eastAsia="zh-CN"/>
              </w:rPr>
              <w:t>70</w:t>
            </w:r>
            <w:r>
              <w:t>.0分</w:t>
            </w:r>
          </w:p>
          <w:p>
            <w:r>
              <w:t>报价得分10.0分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restart"/>
          </w:tcPr>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r>
              <w:rPr>
                <w:rFonts w:hint="eastAsia"/>
                <w:lang w:val="en-US" w:eastAsia="zh-CN"/>
              </w:rPr>
              <w:t>商务部分</w:t>
            </w:r>
          </w:p>
          <w:p>
            <w:pPr>
              <w:jc w:val="both"/>
              <w:rPr>
                <w:rFonts w:hint="default"/>
                <w:lang w:val="en-US" w:eastAsia="zh-CN"/>
              </w:rPr>
            </w:pPr>
            <w:r>
              <w:rPr>
                <w:rFonts w:hint="eastAsia"/>
                <w:lang w:val="en-US" w:eastAsia="zh-CN"/>
              </w:rPr>
              <w:t>（20.0分）</w:t>
            </w:r>
          </w:p>
        </w:tc>
        <w:tc>
          <w:tcPr>
            <w:tcW w:w="2307" w:type="dxa"/>
            <w:vAlign w:val="top"/>
          </w:tcPr>
          <w:p>
            <w:pPr>
              <w:jc w:val="both"/>
              <w:rPr>
                <w:rFonts w:hint="eastAsia"/>
                <w:lang w:val="en-US" w:eastAsia="zh-CN"/>
              </w:rPr>
            </w:pPr>
            <w:r>
              <w:rPr>
                <w:rFonts w:hint="eastAsia"/>
                <w:lang w:val="en-US" w:eastAsia="zh-CN"/>
              </w:rPr>
              <w:t>资质要求</w:t>
            </w:r>
          </w:p>
          <w:p>
            <w:pPr>
              <w:jc w:val="both"/>
              <w:rPr>
                <w:rFonts w:hint="default"/>
                <w:lang w:val="en-US" w:eastAsia="zh-CN"/>
              </w:rPr>
            </w:pPr>
            <w:r>
              <w:rPr>
                <w:rFonts w:hint="eastAsia"/>
                <w:lang w:val="en-US" w:eastAsia="zh-CN"/>
              </w:rPr>
              <w:t>（10.0分）</w:t>
            </w:r>
          </w:p>
        </w:tc>
        <w:tc>
          <w:tcPr>
            <w:tcW w:w="5076" w:type="dxa"/>
            <w:vAlign w:val="top"/>
          </w:tcPr>
          <w:p>
            <w:pPr>
              <w:bidi w:val="0"/>
              <w:jc w:val="both"/>
              <w:rPr>
                <w:rFonts w:hint="eastAsia"/>
                <w:lang w:val="en-US" w:eastAsia="zh-CN"/>
              </w:rPr>
            </w:pPr>
            <w:r>
              <w:rPr>
                <w:rFonts w:hint="eastAsia"/>
                <w:lang w:val="en-US" w:eastAsia="zh-CN"/>
              </w:rPr>
              <w:t>响应供应商具有以下有效证书的，每个证书得2分，满分10分：</w:t>
            </w:r>
          </w:p>
          <w:p>
            <w:pPr>
              <w:bidi w:val="0"/>
              <w:jc w:val="both"/>
              <w:rPr>
                <w:rFonts w:hint="eastAsia"/>
                <w:lang w:val="en-US" w:eastAsia="zh-CN"/>
              </w:rPr>
            </w:pPr>
            <w:r>
              <w:rPr>
                <w:rFonts w:hint="eastAsia"/>
                <w:lang w:val="en-US" w:eastAsia="zh-CN"/>
              </w:rPr>
              <w:t>1.ISO9001质量管理体系认证证书；</w:t>
            </w:r>
          </w:p>
          <w:p>
            <w:pPr>
              <w:bidi w:val="0"/>
              <w:jc w:val="both"/>
              <w:rPr>
                <w:rFonts w:hint="eastAsia"/>
                <w:lang w:val="en-US" w:eastAsia="zh-CN"/>
              </w:rPr>
            </w:pPr>
            <w:r>
              <w:rPr>
                <w:rFonts w:hint="eastAsia"/>
                <w:lang w:val="en-US" w:eastAsia="zh-CN"/>
              </w:rPr>
              <w:t>2.CCRC信息系统安全集成三级及以上服务资质证书                                              3.CS1信息系统建设和服务能力等级证书                                                                 4.ISO/IEC 20000信息技术服务管理体系认证证书                                  5.ISO27001信息安全管理体系认证证书</w:t>
            </w:r>
          </w:p>
          <w:p>
            <w:pPr>
              <w:bidi w:val="0"/>
              <w:jc w:val="both"/>
              <w:rPr>
                <w:rFonts w:hint="eastAsia"/>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continue"/>
          </w:tcPr>
          <w:p>
            <w:pPr>
              <w:jc w:val="left"/>
              <w:rPr>
                <w:rFonts w:hint="eastAsia"/>
                <w:lang w:val="en-US" w:eastAsia="zh-CN"/>
              </w:rPr>
            </w:pPr>
          </w:p>
        </w:tc>
        <w:tc>
          <w:tcPr>
            <w:tcW w:w="2307" w:type="dxa"/>
            <w:vAlign w:val="top"/>
          </w:tcPr>
          <w:p>
            <w:pPr>
              <w:jc w:val="both"/>
              <w:rPr>
                <w:rFonts w:hint="eastAsia"/>
                <w:lang w:val="en-US" w:eastAsia="zh-CN"/>
              </w:rPr>
            </w:pPr>
            <w:r>
              <w:rPr>
                <w:rFonts w:hint="eastAsia"/>
                <w:lang w:val="en-US" w:eastAsia="zh-CN"/>
              </w:rPr>
              <w:t>同类项目业绩</w:t>
            </w:r>
          </w:p>
          <w:p>
            <w:pPr>
              <w:jc w:val="both"/>
              <w:rPr>
                <w:rFonts w:hint="eastAsia"/>
                <w:lang w:val="en-US" w:eastAsia="zh-CN"/>
              </w:rPr>
            </w:pPr>
            <w:r>
              <w:rPr>
                <w:rFonts w:hint="eastAsia"/>
                <w:lang w:val="en-US" w:eastAsia="zh-CN"/>
              </w:rPr>
              <w:t>（6.0分）</w:t>
            </w:r>
          </w:p>
        </w:tc>
        <w:tc>
          <w:tcPr>
            <w:tcW w:w="5076" w:type="dxa"/>
            <w:vAlign w:val="top"/>
          </w:tcPr>
          <w:p>
            <w:pPr>
              <w:bidi w:val="0"/>
              <w:jc w:val="both"/>
              <w:rPr>
                <w:rFonts w:hint="eastAsia"/>
                <w:lang w:val="en-US" w:eastAsia="zh-CN"/>
              </w:rPr>
            </w:pPr>
            <w:r>
              <w:rPr>
                <w:rFonts w:hint="eastAsia"/>
                <w:lang w:val="en-US" w:eastAsia="zh-CN"/>
              </w:rPr>
              <w:t>响应供应商自2020年以来，已完成的同类项目业绩合同，每提供一个得2分，共6分。</w:t>
            </w:r>
          </w:p>
          <w:p>
            <w:pPr>
              <w:bidi w:val="0"/>
              <w:jc w:val="both"/>
              <w:rPr>
                <w:rFonts w:hint="eastAsia"/>
              </w:rPr>
            </w:pPr>
            <w:r>
              <w:rPr>
                <w:rFonts w:hint="eastAsia"/>
                <w:lang w:val="en-US" w:eastAsia="zh-CN"/>
              </w:rPr>
              <w:t>注：投标文件中须提供上述业绩合同复印件并加盖投标人公章。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49" w:hRule="atLeast"/>
        </w:trPr>
        <w:tc>
          <w:tcPr>
            <w:tcW w:w="1182" w:type="dxa"/>
            <w:vMerge w:val="continue"/>
          </w:tcPr>
          <w:p>
            <w:pPr>
              <w:jc w:val="left"/>
              <w:rPr>
                <w:rFonts w:hint="eastAsia"/>
                <w:lang w:val="en-US" w:eastAsia="zh-CN"/>
              </w:rPr>
            </w:pPr>
          </w:p>
        </w:tc>
        <w:tc>
          <w:tcPr>
            <w:tcW w:w="2307" w:type="dxa"/>
            <w:vAlign w:val="top"/>
          </w:tcPr>
          <w:p>
            <w:pPr>
              <w:jc w:val="both"/>
              <w:rPr>
                <w:rFonts w:hint="eastAsia"/>
                <w:lang w:val="en-US" w:eastAsia="zh-CN"/>
              </w:rPr>
            </w:pPr>
            <w:r>
              <w:rPr>
                <w:rFonts w:hint="eastAsia"/>
                <w:lang w:val="en-US" w:eastAsia="zh-CN"/>
              </w:rPr>
              <w:t>拟派本项目人员（4.0分）</w:t>
            </w:r>
          </w:p>
        </w:tc>
        <w:tc>
          <w:tcPr>
            <w:tcW w:w="5076" w:type="dxa"/>
            <w:vAlign w:val="top"/>
          </w:tcPr>
          <w:p>
            <w:pPr>
              <w:bidi w:val="0"/>
              <w:jc w:val="both"/>
              <w:rPr>
                <w:rFonts w:hint="eastAsia"/>
                <w:lang w:val="en-US" w:eastAsia="zh-CN"/>
              </w:rPr>
            </w:pPr>
            <w:r>
              <w:rPr>
                <w:rFonts w:hint="eastAsia"/>
                <w:lang w:val="en-US" w:eastAsia="zh-CN"/>
              </w:rPr>
              <w:t>根据响应供应商拟派本项目人员能力情况进行综合评定：</w:t>
            </w:r>
          </w:p>
          <w:p>
            <w:pPr>
              <w:bidi w:val="0"/>
              <w:ind w:firstLine="840" w:firstLineChars="400"/>
              <w:jc w:val="both"/>
              <w:rPr>
                <w:rFonts w:hint="eastAsia"/>
                <w:lang w:val="en-US" w:eastAsia="zh-CN"/>
              </w:rPr>
            </w:pPr>
            <w:r>
              <w:rPr>
                <w:rFonts w:hint="eastAsia"/>
              </w:rPr>
              <w:t>投入本项目团队成员</w:t>
            </w:r>
            <w:r>
              <w:rPr>
                <w:rFonts w:hint="eastAsia"/>
                <w:lang w:eastAsia="zh-CN"/>
              </w:rPr>
              <w:t>具有</w:t>
            </w:r>
            <w:r>
              <w:rPr>
                <w:rFonts w:hint="eastAsia"/>
              </w:rPr>
              <w:t>网络工程师证书（中级或以上）</w:t>
            </w:r>
            <w:r>
              <w:rPr>
                <w:rFonts w:hint="eastAsia"/>
                <w:lang w:eastAsia="zh-CN"/>
              </w:rPr>
              <w:t>、</w:t>
            </w:r>
            <w:r>
              <w:rPr>
                <w:rFonts w:hint="eastAsia"/>
              </w:rPr>
              <w:t>原厂认证工程师</w:t>
            </w:r>
            <w:r>
              <w:rPr>
                <w:rFonts w:hint="eastAsia"/>
                <w:lang w:eastAsia="zh-CN"/>
              </w:rPr>
              <w:t>证书</w:t>
            </w:r>
            <w:r>
              <w:rPr>
                <w:rFonts w:hint="eastAsia"/>
              </w:rPr>
              <w:t>，每持有</w:t>
            </w:r>
            <w:r>
              <w:rPr>
                <w:rFonts w:hint="eastAsia"/>
                <w:lang w:val="en-US" w:eastAsia="zh-CN"/>
              </w:rPr>
              <w:t>1</w:t>
            </w:r>
            <w:r>
              <w:rPr>
                <w:rFonts w:hint="eastAsia"/>
              </w:rPr>
              <w:t>个以上有效证书的得</w:t>
            </w:r>
            <w:r>
              <w:rPr>
                <w:rFonts w:hint="eastAsia"/>
                <w:lang w:val="en-US" w:eastAsia="zh-CN"/>
              </w:rPr>
              <w:t>2</w:t>
            </w:r>
            <w:r>
              <w:rPr>
                <w:rFonts w:hint="eastAsia"/>
              </w:rPr>
              <w:t>分，最高得</w:t>
            </w:r>
            <w:r>
              <w:rPr>
                <w:rFonts w:hint="eastAsia"/>
                <w:lang w:val="en-US" w:eastAsia="zh-CN"/>
              </w:rPr>
              <w:t>4</w:t>
            </w:r>
            <w:r>
              <w:rPr>
                <w:rFonts w:hint="eastAsia"/>
              </w:rPr>
              <w:t>分。</w:t>
            </w:r>
            <w:r>
              <w:rPr>
                <w:rFonts w:hint="eastAsia"/>
                <w:lang w:val="en-US" w:eastAsia="zh-CN"/>
              </w:rPr>
              <w:t>；</w:t>
            </w:r>
          </w:p>
          <w:p>
            <w:pPr>
              <w:bidi w:val="0"/>
              <w:jc w:val="both"/>
              <w:rPr>
                <w:rFonts w:hint="eastAsia"/>
              </w:rPr>
            </w:pPr>
            <w:r>
              <w:rPr>
                <w:rFonts w:hint="eastAsia"/>
                <w:lang w:val="en-US" w:eastAsia="zh-CN"/>
              </w:rPr>
              <w:t>注：提供能体现上述人员信息的合同关键页或由合同委托方出具并盖公章的项目人员证明文件复印件及投标人名下缴纳的近三个月社保证明，未提供不得分，本项最高得分6分。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restart"/>
          </w:tcPr>
          <w:p>
            <w:pPr>
              <w:jc w:val="center"/>
            </w:pPr>
          </w:p>
          <w:p>
            <w:pPr>
              <w:jc w:val="center"/>
            </w:pPr>
          </w:p>
          <w:p>
            <w:pPr>
              <w:jc w:val="center"/>
            </w:pPr>
          </w:p>
          <w:p>
            <w:pPr>
              <w:jc w:val="center"/>
            </w:pPr>
          </w:p>
          <w:p>
            <w:pPr>
              <w:jc w:val="center"/>
            </w:pPr>
          </w:p>
          <w:p>
            <w:pPr>
              <w:jc w:val="center"/>
            </w:pPr>
          </w:p>
          <w:p>
            <w:pPr>
              <w:jc w:val="center"/>
            </w:pPr>
            <w:r>
              <w:t>技术部分</w:t>
            </w:r>
          </w:p>
          <w:p>
            <w:pPr>
              <w:jc w:val="center"/>
              <w:rPr>
                <w:rFonts w:hint="eastAsia" w:eastAsiaTheme="minorEastAsia"/>
                <w:lang w:eastAsia="zh-CN"/>
              </w:rPr>
            </w:pPr>
            <w:r>
              <w:rPr>
                <w:rFonts w:hint="eastAsia"/>
                <w:lang w:eastAsia="zh-CN"/>
              </w:rPr>
              <w:t>（</w:t>
            </w:r>
            <w:r>
              <w:rPr>
                <w:rFonts w:hint="eastAsia"/>
                <w:lang w:val="en-US" w:eastAsia="zh-CN"/>
              </w:rPr>
              <w:t>70.0分</w:t>
            </w:r>
            <w:r>
              <w:rPr>
                <w:rFonts w:hint="eastAsia"/>
                <w:lang w:eastAsia="zh-CN"/>
              </w:rPr>
              <w:t>）</w:t>
            </w:r>
          </w:p>
        </w:tc>
        <w:tc>
          <w:tcPr>
            <w:tcW w:w="2307" w:type="dxa"/>
          </w:tcPr>
          <w:p>
            <w:pPr>
              <w:jc w:val="left"/>
            </w:pPr>
            <w:r>
              <w:t>重要技术条款响应情况  (</w:t>
            </w:r>
            <w:r>
              <w:rPr>
                <w:rFonts w:hint="eastAsia"/>
                <w:lang w:val="en-US" w:eastAsia="zh-CN"/>
              </w:rPr>
              <w:t>50</w:t>
            </w:r>
            <w:r>
              <w:t>.0分)</w:t>
            </w:r>
          </w:p>
        </w:tc>
        <w:tc>
          <w:tcPr>
            <w:tcW w:w="5076" w:type="dxa"/>
          </w:tcPr>
          <w:p>
            <w:pPr>
              <w:jc w:val="left"/>
            </w:pPr>
            <w:r>
              <w:rPr>
                <w:rFonts w:hint="eastAsia" w:ascii="宋体" w:hAnsi="宋体" w:eastAsia="宋体" w:cs="宋体"/>
                <w:sz w:val="21"/>
                <w:szCs w:val="21"/>
              </w:rPr>
              <w:t>对技术要求中带“▲”号参数项的，</w:t>
            </w:r>
            <w:r>
              <w:rPr>
                <w:rFonts w:hint="eastAsia" w:ascii="宋体" w:hAnsi="宋体" w:eastAsia="宋体" w:cs="宋体"/>
                <w:sz w:val="21"/>
                <w:szCs w:val="21"/>
                <w:lang w:val="en-US" w:eastAsia="zh-CN"/>
              </w:rPr>
              <w:t>能够</w:t>
            </w:r>
            <w:r>
              <w:t>完全响应或优于技术性能要求的得满分，每有一项不响应的扣</w:t>
            </w:r>
            <w:r>
              <w:rPr>
                <w:rFonts w:hint="eastAsia"/>
                <w:lang w:val="en-US" w:eastAsia="zh-CN"/>
              </w:rPr>
              <w:t>2.5</w:t>
            </w:r>
            <w:r>
              <w:t>分，扣到0分为止，本项最高得</w:t>
            </w:r>
            <w:r>
              <w:rPr>
                <w:rFonts w:hint="eastAsia"/>
                <w:lang w:val="en-US" w:eastAsia="zh-CN"/>
              </w:rPr>
              <w:t>50.0</w:t>
            </w:r>
            <w:r>
              <w:t>分。 （按采购需求中的要求提供证明材料，未提供证明材料的视为不响应，不得分。）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continue"/>
          </w:tcPr>
          <w:p>
            <w:pPr>
              <w:jc w:val="center"/>
            </w:pPr>
          </w:p>
        </w:tc>
        <w:tc>
          <w:tcPr>
            <w:tcW w:w="2307" w:type="dxa"/>
          </w:tcPr>
          <w:p>
            <w:pPr>
              <w:jc w:val="left"/>
            </w:pPr>
            <w:r>
              <w:rPr>
                <w:rFonts w:hint="eastAsia"/>
                <w:lang w:val="en-US" w:eastAsia="zh-CN"/>
              </w:rPr>
              <w:t>一般</w:t>
            </w:r>
            <w:r>
              <w:t>技术条款响应情况  (</w:t>
            </w:r>
            <w:r>
              <w:rPr>
                <w:rFonts w:hint="eastAsia"/>
                <w:lang w:val="en-US" w:eastAsia="zh-CN"/>
              </w:rPr>
              <w:t>10</w:t>
            </w:r>
            <w:r>
              <w:t>.0分)</w:t>
            </w:r>
          </w:p>
        </w:tc>
        <w:tc>
          <w:tcPr>
            <w:tcW w:w="5076" w:type="dxa"/>
          </w:tcPr>
          <w:p>
            <w:pPr>
              <w:jc w:val="left"/>
              <w:rPr>
                <w:rFonts w:hint="eastAsia" w:ascii="宋体" w:hAnsi="宋体" w:eastAsia="宋体" w:cs="宋体"/>
                <w:sz w:val="21"/>
                <w:szCs w:val="21"/>
              </w:rPr>
            </w:pPr>
            <w:r>
              <w:rPr>
                <w:rFonts w:hint="eastAsia"/>
                <w:lang w:val="en-US" w:eastAsia="zh-CN"/>
              </w:rPr>
              <w:t>响应供应商</w:t>
            </w:r>
            <w:r>
              <w:rPr>
                <w:rFonts w:hint="default"/>
                <w:lang w:val="en-US" w:eastAsia="zh-CN"/>
              </w:rPr>
              <w:t>完全响应或优于本项目一般技术条款（非“▲”非“★”条款）要求的，得</w:t>
            </w:r>
            <w:r>
              <w:rPr>
                <w:rFonts w:hint="eastAsia"/>
                <w:lang w:val="en-US" w:eastAsia="zh-CN"/>
              </w:rPr>
              <w:t>10.0</w:t>
            </w:r>
            <w:r>
              <w:rPr>
                <w:rFonts w:hint="default"/>
                <w:lang w:val="en-US" w:eastAsia="zh-CN"/>
              </w:rPr>
              <w:t>分；</w:t>
            </w:r>
            <w:r>
              <w:rPr>
                <w:rFonts w:hint="eastAsia"/>
                <w:lang w:val="en-US" w:eastAsia="zh-CN"/>
              </w:rPr>
              <w:t>本项目</w:t>
            </w:r>
            <w:r>
              <w:rPr>
                <w:rFonts w:hint="eastAsia" w:ascii="宋体" w:hAnsi="宋体" w:eastAsia="宋体" w:cs="宋体"/>
                <w:color w:val="auto"/>
                <w:highlight w:val="none"/>
              </w:rPr>
              <w:t>一般技术参数要求共</w:t>
            </w:r>
            <w:r>
              <w:rPr>
                <w:rFonts w:hint="eastAsia" w:ascii="宋体" w:hAnsi="宋体" w:eastAsia="宋体" w:cs="宋体"/>
                <w:color w:val="0000FF"/>
                <w:highlight w:val="none"/>
                <w:lang w:val="en-US" w:eastAsia="zh-CN"/>
              </w:rPr>
              <w:t>14</w:t>
            </w:r>
            <w:r>
              <w:rPr>
                <w:rFonts w:hint="eastAsia" w:ascii="宋体" w:hAnsi="宋体" w:eastAsia="宋体" w:cs="宋体"/>
                <w:color w:val="auto"/>
                <w:highlight w:val="none"/>
              </w:rPr>
              <w:t>项，每</w:t>
            </w:r>
            <w:r>
              <w:rPr>
                <w:rFonts w:hint="default"/>
                <w:lang w:val="en-US" w:eastAsia="zh-CN"/>
              </w:rPr>
              <w:t>出现一项不能响应或负偏离采购文件要求的，</w:t>
            </w:r>
            <w:r>
              <w:rPr>
                <w:rFonts w:hint="eastAsia"/>
                <w:lang w:val="en-US" w:eastAsia="zh-CN"/>
              </w:rPr>
              <w:t>扣1.0</w:t>
            </w:r>
            <w:r>
              <w:rPr>
                <w:rFonts w:hint="default"/>
                <w:lang w:val="en-US" w:eastAsia="zh-CN"/>
              </w:rPr>
              <w:t>分</w:t>
            </w:r>
            <w:r>
              <w:rPr>
                <w:rFonts w:hint="eastAsia"/>
                <w:lang w:val="en-US" w:eastAsia="zh-CN"/>
              </w:rPr>
              <w:t>，扣完为止</w:t>
            </w:r>
            <w:r>
              <w:rPr>
                <w:rFonts w:hint="default"/>
                <w:lang w:val="en-US" w:eastAsia="zh-CN"/>
              </w:rPr>
              <w:t>。 注：不响应、不标注或不提供的不得分；采购需求书中有具体要求提供证明材料的技术参数，投标人须在投标文件中提供证明材料作为依据，不能提供证明材料的不得分。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continue"/>
          </w:tcPr>
          <w:p/>
        </w:tc>
        <w:tc>
          <w:tcPr>
            <w:tcW w:w="2307" w:type="dxa"/>
          </w:tcPr>
          <w:p>
            <w:pPr>
              <w:jc w:val="left"/>
              <w:rPr>
                <w:rFonts w:hint="eastAsia" w:eastAsiaTheme="minorEastAsia"/>
                <w:lang w:eastAsia="zh-CN"/>
              </w:rPr>
            </w:pPr>
            <w:r>
              <w:rPr>
                <w:rFonts w:hint="eastAsia"/>
                <w:lang w:val="en-US" w:eastAsia="zh-CN"/>
              </w:rPr>
              <w:t xml:space="preserve">项目需求及整体建设方案 </w:t>
            </w:r>
            <w:r>
              <w:t>(</w:t>
            </w:r>
            <w:r>
              <w:rPr>
                <w:rFonts w:hint="eastAsia"/>
                <w:lang w:val="en-US" w:eastAsia="zh-CN"/>
              </w:rPr>
              <w:t>3.0</w:t>
            </w:r>
            <w:r>
              <w:t>分</w:t>
            </w:r>
            <w:r>
              <w:rPr>
                <w:rFonts w:hint="eastAsia"/>
                <w:lang w:eastAsia="zh-CN"/>
              </w:rPr>
              <w:t>）</w:t>
            </w:r>
          </w:p>
        </w:tc>
        <w:tc>
          <w:tcPr>
            <w:tcW w:w="5076" w:type="dxa"/>
          </w:tcPr>
          <w:p>
            <w:pPr>
              <w:pageBreakBefore w:val="0"/>
              <w:numPr>
                <w:ilvl w:val="0"/>
                <w:numId w:val="0"/>
              </w:numPr>
              <w:wordWrap/>
              <w:overflowPunct/>
              <w:topLinePunct w:val="0"/>
              <w:bidi w:val="0"/>
              <w:spacing w:line="240" w:lineRule="auto"/>
              <w:rPr>
                <w:rFonts w:hint="eastAsia" w:ascii="宋体" w:hAnsi="宋体" w:eastAsia="宋体" w:cs="宋体"/>
                <w:sz w:val="21"/>
                <w:szCs w:val="21"/>
              </w:rPr>
            </w:pPr>
            <w:r>
              <w:t>根据投标人针对本项目采购需求</w:t>
            </w:r>
            <w:r>
              <w:rPr>
                <w:rFonts w:hint="eastAsia"/>
                <w:lang w:val="en-US" w:eastAsia="zh-CN"/>
              </w:rPr>
              <w:t>及整体建设</w:t>
            </w:r>
            <w:r>
              <w:t>的分析（包括对项目背景、项目目标、项目</w:t>
            </w:r>
            <w:r>
              <w:rPr>
                <w:rFonts w:hint="eastAsia"/>
                <w:lang w:val="en-US" w:eastAsia="zh-CN"/>
              </w:rPr>
              <w:t>技术路线、技术架构</w:t>
            </w:r>
            <w:r>
              <w:t>、重点分析）进行评价：</w:t>
            </w:r>
          </w:p>
          <w:p>
            <w:pPr>
              <w:pageBreakBefore w:val="0"/>
              <w:numPr>
                <w:ilvl w:val="0"/>
                <w:numId w:val="1"/>
              </w:numPr>
              <w:wordWrap/>
              <w:overflowPunct/>
              <w:topLinePunct w:val="0"/>
              <w:bidi w:val="0"/>
              <w:spacing w:line="240" w:lineRule="auto"/>
              <w:ind w:leftChars="0"/>
              <w:rPr>
                <w:rFonts w:hint="eastAsia" w:ascii="宋体" w:hAnsi="宋体" w:eastAsia="宋体" w:cs="宋体"/>
                <w:sz w:val="21"/>
                <w:szCs w:val="21"/>
              </w:rPr>
            </w:pPr>
            <w:r>
              <w:rPr>
                <w:rFonts w:hint="eastAsia" w:ascii="宋体" w:hAnsi="宋体" w:eastAsia="宋体" w:cs="宋体"/>
                <w:sz w:val="21"/>
                <w:szCs w:val="21"/>
              </w:rPr>
              <w:t>充分理解采购需求，对项目</w:t>
            </w:r>
            <w:r>
              <w:rPr>
                <w:rFonts w:hint="eastAsia" w:ascii="宋体" w:hAnsi="宋体" w:eastAsia="宋体" w:cs="宋体"/>
                <w:sz w:val="21"/>
                <w:szCs w:val="21"/>
                <w:lang w:val="en-US" w:eastAsia="zh-CN"/>
              </w:rPr>
              <w:t>建设</w:t>
            </w:r>
            <w:r>
              <w:rPr>
                <w:rFonts w:hint="eastAsia" w:ascii="宋体" w:hAnsi="宋体" w:eastAsia="宋体" w:cs="宋体"/>
                <w:sz w:val="21"/>
                <w:szCs w:val="21"/>
              </w:rPr>
              <w:t>重点、关键点分析全面，</w:t>
            </w:r>
            <w:r>
              <w:rPr>
                <w:rFonts w:hint="eastAsia" w:ascii="宋体" w:hAnsi="宋体" w:eastAsia="宋体" w:cs="宋体"/>
                <w:sz w:val="21"/>
                <w:szCs w:val="21"/>
                <w:lang w:val="en-US" w:eastAsia="zh-CN"/>
              </w:rPr>
              <w:t>整体方案合理、技术路线把握精准、思路清晰，优于或满足项目需求</w:t>
            </w:r>
            <w:r>
              <w:rPr>
                <w:rFonts w:hint="eastAsia" w:ascii="宋体" w:hAnsi="宋体" w:eastAsia="宋体" w:cs="宋体"/>
                <w:sz w:val="21"/>
                <w:szCs w:val="21"/>
              </w:rPr>
              <w:t>，得</w:t>
            </w:r>
            <w:r>
              <w:rPr>
                <w:rFonts w:hint="eastAsia" w:ascii="宋体" w:hAnsi="宋体" w:eastAsia="宋体" w:cs="宋体"/>
                <w:sz w:val="21"/>
                <w:szCs w:val="21"/>
                <w:lang w:val="en-US" w:eastAsia="zh-CN"/>
              </w:rPr>
              <w:t>3.0</w:t>
            </w:r>
            <w:r>
              <w:rPr>
                <w:rFonts w:hint="eastAsia" w:ascii="宋体" w:hAnsi="宋体" w:eastAsia="宋体" w:cs="宋体"/>
                <w:sz w:val="21"/>
                <w:szCs w:val="21"/>
              </w:rPr>
              <w:t>分；</w:t>
            </w:r>
          </w:p>
          <w:p>
            <w:pPr>
              <w:pageBreakBefore w:val="0"/>
              <w:numPr>
                <w:ilvl w:val="0"/>
                <w:numId w:val="1"/>
              </w:numPr>
              <w:wordWrap/>
              <w:overflowPunct/>
              <w:topLinePunct w:val="0"/>
              <w:bidi w:val="0"/>
              <w:spacing w:line="240" w:lineRule="auto"/>
              <w:ind w:leftChars="0"/>
              <w:rPr>
                <w:rFonts w:hint="eastAsia" w:ascii="宋体" w:hAnsi="宋体" w:eastAsia="宋体" w:cs="宋体"/>
                <w:sz w:val="21"/>
                <w:szCs w:val="21"/>
              </w:rPr>
            </w:pPr>
            <w:r>
              <w:rPr>
                <w:rFonts w:hint="eastAsia" w:ascii="宋体" w:hAnsi="宋体" w:eastAsia="宋体" w:cs="宋体"/>
                <w:sz w:val="21"/>
                <w:szCs w:val="21"/>
              </w:rPr>
              <w:t>理解采购需求，对项目实施重点、关键点分析较全面，</w:t>
            </w:r>
            <w:r>
              <w:rPr>
                <w:rFonts w:hint="eastAsia" w:ascii="宋体" w:hAnsi="宋体" w:eastAsia="宋体" w:cs="宋体"/>
                <w:sz w:val="21"/>
                <w:szCs w:val="21"/>
                <w:lang w:val="en-US" w:eastAsia="zh-CN"/>
              </w:rPr>
              <w:t>整体技术路线较为详细完整，能满足项目需求</w:t>
            </w:r>
            <w:r>
              <w:rPr>
                <w:rFonts w:hint="eastAsia" w:ascii="宋体" w:hAnsi="宋体" w:eastAsia="宋体" w:cs="宋体"/>
                <w:sz w:val="21"/>
                <w:szCs w:val="21"/>
              </w:rPr>
              <w:t>，得</w:t>
            </w:r>
            <w:r>
              <w:rPr>
                <w:rFonts w:hint="eastAsia" w:ascii="宋体" w:hAnsi="宋体" w:eastAsia="宋体" w:cs="宋体"/>
                <w:sz w:val="21"/>
                <w:szCs w:val="21"/>
                <w:lang w:val="en-US" w:eastAsia="zh-CN"/>
              </w:rPr>
              <w:t>2.0</w:t>
            </w:r>
            <w:r>
              <w:rPr>
                <w:rFonts w:hint="eastAsia" w:ascii="宋体" w:hAnsi="宋体" w:eastAsia="宋体" w:cs="宋体"/>
                <w:sz w:val="21"/>
                <w:szCs w:val="21"/>
              </w:rPr>
              <w:t>分；</w:t>
            </w:r>
          </w:p>
          <w:p>
            <w:pPr>
              <w:pageBreakBefore w:val="0"/>
              <w:numPr>
                <w:ilvl w:val="0"/>
                <w:numId w:val="1"/>
              </w:numPr>
              <w:wordWrap/>
              <w:overflowPunct/>
              <w:topLinePunct w:val="0"/>
              <w:bidi w:val="0"/>
              <w:spacing w:line="240" w:lineRule="auto"/>
              <w:ind w:leftChars="0"/>
            </w:pPr>
            <w:r>
              <w:rPr>
                <w:rFonts w:hint="eastAsia" w:ascii="宋体" w:hAnsi="宋体" w:eastAsia="宋体" w:cs="宋体"/>
                <w:sz w:val="21"/>
                <w:szCs w:val="21"/>
              </w:rPr>
              <w:t>基本理解采购需求，对项目实施重点、关键点不够全面，</w:t>
            </w:r>
            <w:r>
              <w:rPr>
                <w:rFonts w:hint="eastAsia" w:ascii="宋体" w:hAnsi="宋体" w:eastAsia="宋体" w:cs="宋体"/>
                <w:sz w:val="21"/>
                <w:szCs w:val="21"/>
                <w:lang w:val="en-US" w:eastAsia="zh-CN"/>
              </w:rPr>
              <w:t>整体技术路线把握不够精准，基本满足项目需求</w:t>
            </w:r>
            <w:r>
              <w:rPr>
                <w:rFonts w:hint="eastAsia" w:ascii="宋体" w:hAnsi="宋体" w:eastAsia="宋体" w:cs="宋体"/>
                <w:sz w:val="21"/>
                <w:szCs w:val="21"/>
              </w:rPr>
              <w:t>，得</w:t>
            </w:r>
            <w:r>
              <w:rPr>
                <w:rFonts w:hint="eastAsia" w:ascii="宋体" w:hAnsi="宋体" w:eastAsia="宋体" w:cs="宋体"/>
                <w:sz w:val="21"/>
                <w:szCs w:val="21"/>
                <w:lang w:val="en-US" w:eastAsia="zh-CN"/>
              </w:rPr>
              <w:t>1.0</w:t>
            </w:r>
            <w:r>
              <w:rPr>
                <w:rFonts w:hint="eastAsia" w:ascii="宋体" w:hAnsi="宋体" w:eastAsia="宋体" w:cs="宋体"/>
                <w:sz w:val="21"/>
                <w:szCs w:val="21"/>
              </w:rPr>
              <w:t>分。</w:t>
            </w:r>
          </w:p>
          <w:p>
            <w:pPr>
              <w:pageBreakBefore w:val="0"/>
              <w:numPr>
                <w:ilvl w:val="0"/>
                <w:numId w:val="1"/>
              </w:numPr>
              <w:wordWrap/>
              <w:overflowPunct/>
              <w:topLinePunct w:val="0"/>
              <w:bidi w:val="0"/>
              <w:spacing w:line="240" w:lineRule="auto"/>
              <w:ind w:leftChars="0"/>
            </w:pPr>
            <w:r>
              <w:rPr>
                <w:rFonts w:hint="eastAsia" w:ascii="宋体" w:hAnsi="宋体" w:cs="宋体"/>
                <w:szCs w:val="21"/>
                <w:lang w:val="en-US" w:eastAsia="zh-CN"/>
              </w:rPr>
              <w:t>其他情况或不提供方案的</w:t>
            </w:r>
            <w:r>
              <w:rPr>
                <w:rFonts w:hint="eastAsia" w:ascii="宋体" w:hAnsi="宋体" w:cs="宋体"/>
                <w:szCs w:val="21"/>
              </w:rPr>
              <w:t>不得分</w:t>
            </w:r>
            <w:r>
              <w:rPr>
                <w:rFonts w:hint="eastAsia" w:ascii="宋体" w:hAnsi="宋体" w:eastAsia="宋体" w:cs="宋体"/>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continue"/>
          </w:tcPr>
          <w:p/>
        </w:tc>
        <w:tc>
          <w:tcPr>
            <w:tcW w:w="2307" w:type="dxa"/>
          </w:tcPr>
          <w:p>
            <w:pPr>
              <w:jc w:val="left"/>
            </w:pPr>
            <w:r>
              <w:t>项目建设实施方案 (</w:t>
            </w:r>
            <w:r>
              <w:rPr>
                <w:rFonts w:hint="eastAsia"/>
                <w:lang w:val="en-US" w:eastAsia="zh-CN"/>
              </w:rPr>
              <w:t>3</w:t>
            </w:r>
            <w:r>
              <w:t>.0分)</w:t>
            </w:r>
          </w:p>
        </w:tc>
        <w:tc>
          <w:tcPr>
            <w:tcW w:w="5076" w:type="dxa"/>
          </w:tcPr>
          <w:p>
            <w:pPr>
              <w:jc w:val="left"/>
            </w:pPr>
            <w:r>
              <w:t xml:space="preserve">根据投标人对本项目的建设实施方案进行评审，内容包括但不限于供货时间安排、安装调试方案、硬件验收、培训计划等： </w:t>
            </w:r>
          </w:p>
          <w:p>
            <w:pPr>
              <w:numPr>
                <w:ilvl w:val="0"/>
                <w:numId w:val="2"/>
              </w:numPr>
              <w:jc w:val="left"/>
            </w:pPr>
            <w:r>
              <w:t>建设实施方案详细具体，上述内容均有详细描述，科学合理、可行性高的，得</w:t>
            </w:r>
            <w:r>
              <w:rPr>
                <w:rFonts w:hint="eastAsia"/>
                <w:lang w:val="en-US" w:eastAsia="zh-CN"/>
              </w:rPr>
              <w:t>3.0</w:t>
            </w:r>
            <w:r>
              <w:t xml:space="preserve">分； </w:t>
            </w:r>
          </w:p>
          <w:p>
            <w:pPr>
              <w:numPr>
                <w:ilvl w:val="0"/>
                <w:numId w:val="2"/>
              </w:numPr>
              <w:jc w:val="left"/>
            </w:pPr>
            <w:r>
              <w:t>建设实施方案较具体，上述内容均有较详细描述，科学合理性、可行性尚可的，得</w:t>
            </w:r>
            <w:r>
              <w:rPr>
                <w:rFonts w:hint="eastAsia"/>
                <w:lang w:val="en-US" w:eastAsia="zh-CN"/>
              </w:rPr>
              <w:t>2.0</w:t>
            </w:r>
            <w:r>
              <w:t xml:space="preserve">分； </w:t>
            </w:r>
          </w:p>
          <w:p>
            <w:pPr>
              <w:numPr>
                <w:ilvl w:val="0"/>
                <w:numId w:val="2"/>
              </w:numPr>
              <w:jc w:val="left"/>
            </w:pPr>
            <w:r>
              <w:t>建设实施方案一般，上述内容描述简单，合理性、可行性一般的，得</w:t>
            </w:r>
            <w:r>
              <w:rPr>
                <w:rFonts w:hint="eastAsia"/>
                <w:lang w:val="en-US" w:eastAsia="zh-CN"/>
              </w:rPr>
              <w:t>1.0</w:t>
            </w:r>
            <w:r>
              <w:t xml:space="preserve">分； </w:t>
            </w:r>
          </w:p>
          <w:p>
            <w:pPr>
              <w:numPr>
                <w:ilvl w:val="0"/>
                <w:numId w:val="2"/>
              </w:numPr>
              <w:jc w:val="left"/>
            </w:pPr>
            <w:r>
              <w:rPr>
                <w:rFonts w:hint="eastAsia" w:ascii="宋体" w:hAnsi="宋体" w:cs="宋体"/>
                <w:szCs w:val="21"/>
                <w:lang w:val="en-US" w:eastAsia="zh-CN"/>
              </w:rPr>
              <w:t>其他情况或不提供方案的</w:t>
            </w:r>
            <w:r>
              <w:rPr>
                <w:rFonts w:hint="eastAsia" w:ascii="宋体" w:hAnsi="宋体" w:cs="宋体"/>
                <w:szCs w:val="21"/>
              </w:rPr>
              <w:t>不得分</w:t>
            </w:r>
            <w:r>
              <w:rPr>
                <w:rFonts w:hint="eastAsia" w:ascii="宋体" w:hAnsi="宋体" w:eastAsia="宋体" w:cs="宋体"/>
                <w:sz w:val="21"/>
                <w:szCs w:val="21"/>
              </w:rPr>
              <w:t>。</w:t>
            </w:r>
            <w:r>
              <w:t xml:space="preserve"> </w:t>
            </w:r>
          </w:p>
          <w:p>
            <w:pPr>
              <w:numPr>
                <w:ilvl w:val="0"/>
                <w:numId w:val="0"/>
              </w:numPr>
              <w:jc w:val="left"/>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vMerge w:val="continue"/>
          </w:tcPr>
          <w:p/>
        </w:tc>
        <w:tc>
          <w:tcPr>
            <w:tcW w:w="2307" w:type="dxa"/>
          </w:tcPr>
          <w:p>
            <w:pPr>
              <w:jc w:val="left"/>
            </w:pPr>
            <w:r>
              <w:t>售后服务</w:t>
            </w:r>
            <w:r>
              <w:rPr>
                <w:rFonts w:hint="eastAsia"/>
                <w:lang w:val="en-US" w:eastAsia="zh-CN"/>
              </w:rPr>
              <w:t>承诺，质量保证措施</w:t>
            </w:r>
            <w:r>
              <w:t xml:space="preserve"> </w:t>
            </w:r>
            <w:r>
              <w:rPr>
                <w:rFonts w:hint="eastAsia"/>
                <w:lang w:val="en-US" w:eastAsia="zh-CN"/>
              </w:rPr>
              <w:t>4</w:t>
            </w:r>
            <w:r>
              <w:t>.0分)</w:t>
            </w:r>
          </w:p>
        </w:tc>
        <w:tc>
          <w:tcPr>
            <w:tcW w:w="5076" w:type="dxa"/>
          </w:tcPr>
          <w:p>
            <w:pPr>
              <w:jc w:val="left"/>
            </w:pPr>
            <w:r>
              <w:t>根据投标人的售后服务进行评审</w:t>
            </w:r>
            <w:r>
              <w:rPr>
                <w:rFonts w:hint="eastAsia"/>
                <w:lang w:eastAsia="zh-CN"/>
              </w:rPr>
              <w:t>，</w:t>
            </w:r>
            <w:r>
              <w:rPr>
                <w:rFonts w:hint="eastAsia"/>
                <w:lang w:val="en-US" w:eastAsia="zh-CN"/>
              </w:rPr>
              <w:t>满足一项要求得1.0分</w:t>
            </w:r>
            <w:r>
              <w:t xml:space="preserve">： </w:t>
            </w:r>
          </w:p>
          <w:p>
            <w:pPr>
              <w:numPr>
                <w:ilvl w:val="0"/>
                <w:numId w:val="3"/>
              </w:numPr>
              <w:jc w:val="left"/>
            </w:pPr>
            <w:r>
              <w:rPr>
                <w:rFonts w:hint="eastAsia"/>
              </w:rPr>
              <w:t>调试服务:设备调试服务</w:t>
            </w:r>
            <w:r>
              <w:t xml:space="preserve">； </w:t>
            </w:r>
          </w:p>
          <w:p>
            <w:pPr>
              <w:numPr>
                <w:ilvl w:val="0"/>
                <w:numId w:val="3"/>
              </w:numPr>
              <w:jc w:val="left"/>
            </w:pPr>
            <w:r>
              <w:rPr>
                <w:rFonts w:hint="eastAsia"/>
              </w:rPr>
              <w:t>电话技术支持:在维护协议有效期限内，提供7*24小时不间断的电话支持服务</w:t>
            </w:r>
            <w:r>
              <w:t xml:space="preserve">； </w:t>
            </w:r>
          </w:p>
          <w:p>
            <w:pPr>
              <w:numPr>
                <w:ilvl w:val="0"/>
                <w:numId w:val="3"/>
              </w:numPr>
              <w:jc w:val="left"/>
            </w:pPr>
            <w:r>
              <w:rPr>
                <w:rFonts w:hint="eastAsia"/>
              </w:rPr>
              <w:t>远程技术支持:在维护协议有效期限内，提供7*24小时不间断的远程支持服务</w:t>
            </w:r>
            <w:r>
              <w:t xml:space="preserve">； </w:t>
            </w:r>
          </w:p>
          <w:p>
            <w:pPr>
              <w:numPr>
                <w:ilvl w:val="0"/>
                <w:numId w:val="3"/>
              </w:numPr>
              <w:jc w:val="left"/>
            </w:pPr>
            <w:r>
              <w:rPr>
                <w:rFonts w:hint="eastAsia" w:ascii="宋体" w:hAnsi="宋体" w:cs="宋体"/>
                <w:szCs w:val="21"/>
                <w:lang w:val="en-US" w:eastAsia="zh-CN"/>
              </w:rPr>
              <w:t>现场技术支持:按需提供现场技术支持服务，响应时间1小时内，上门时间2小时之内；一年内4次巡检。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2" w:type="dxa"/>
          </w:tcPr>
          <w:p>
            <w:pPr>
              <w:rPr>
                <w:rFonts w:hint="default" w:eastAsiaTheme="minorEastAsia"/>
                <w:lang w:val="en-US" w:eastAsia="zh-CN"/>
              </w:rPr>
            </w:pPr>
            <w:r>
              <w:rPr>
                <w:rFonts w:hint="eastAsia"/>
                <w:lang w:val="en-US" w:eastAsia="zh-CN"/>
              </w:rPr>
              <w:t>报价得分（10.0分）</w:t>
            </w:r>
          </w:p>
        </w:tc>
        <w:tc>
          <w:tcPr>
            <w:tcW w:w="2307" w:type="dxa"/>
          </w:tcPr>
          <w:p>
            <w:pPr>
              <w:jc w:val="left"/>
              <w:rPr>
                <w:rFonts w:hint="eastAsia"/>
              </w:rPr>
            </w:pPr>
            <w:r>
              <w:rPr>
                <w:rFonts w:hint="eastAsia"/>
              </w:rPr>
              <w:t>价格评审</w:t>
            </w:r>
          </w:p>
          <w:p>
            <w:pPr>
              <w:jc w:val="left"/>
            </w:pPr>
            <w:r>
              <w:rPr>
                <w:rFonts w:hint="eastAsia"/>
              </w:rPr>
              <w:t>（</w:t>
            </w:r>
            <w:r>
              <w:rPr>
                <w:rFonts w:hint="eastAsia"/>
                <w:lang w:val="en-US" w:eastAsia="zh-CN"/>
              </w:rPr>
              <w:t>1</w:t>
            </w:r>
            <w:r>
              <w:rPr>
                <w:rFonts w:hint="eastAsia"/>
              </w:rPr>
              <w:t>0</w:t>
            </w:r>
            <w:r>
              <w:rPr>
                <w:rFonts w:hint="eastAsia"/>
                <w:lang w:val="en-US" w:eastAsia="zh-CN"/>
              </w:rPr>
              <w:t>.0</w:t>
            </w:r>
            <w:r>
              <w:rPr>
                <w:rFonts w:hint="eastAsia"/>
              </w:rPr>
              <w:t>分）</w:t>
            </w:r>
          </w:p>
        </w:tc>
        <w:tc>
          <w:tcPr>
            <w:tcW w:w="5076" w:type="dxa"/>
          </w:tcPr>
          <w:p>
            <w:pPr>
              <w:numPr>
                <w:ilvl w:val="0"/>
                <w:numId w:val="0"/>
              </w:numPr>
              <w:jc w:val="left"/>
              <w:rPr>
                <w:rFonts w:hint="eastAsia" w:ascii="宋体" w:hAnsi="宋体" w:cs="宋体"/>
                <w:szCs w:val="21"/>
                <w:lang w:val="en-US" w:eastAsia="zh-CN"/>
              </w:rPr>
            </w:pPr>
            <w:r>
              <w:rPr>
                <w:rFonts w:hint="eastAsia" w:ascii="宋体" w:hAnsi="宋体" w:cs="宋体"/>
                <w:szCs w:val="21"/>
                <w:lang w:val="en-US" w:eastAsia="zh-CN"/>
              </w:rPr>
              <w:t>价格分是以满足招标文件要求且投标价格最低的投标报价为评标基准价，其价格分为满分，其他投标人的价格分则按比例算出【投标报价得分=（评标基准价/投标报价）×价格权值×100】</w:t>
            </w:r>
          </w:p>
        </w:tc>
      </w:tr>
    </w:tbl>
    <w:p>
      <w:pPr>
        <w:numPr>
          <w:ilvl w:val="0"/>
          <w:numId w:val="0"/>
        </w:numPr>
        <w:rPr>
          <w:rFonts w:hint="default"/>
          <w:lang w:val="en-US" w:eastAsia="zh-CN"/>
        </w:rPr>
      </w:pPr>
    </w:p>
    <w:p>
      <w:pPr>
        <w:pStyle w:val="3"/>
        <w:numPr>
          <w:numId w:val="0"/>
        </w:numPr>
        <w:spacing w:before="312" w:beforeLines="100" w:after="0" w:line="360" w:lineRule="auto"/>
        <w:ind w:leftChars="0"/>
        <w:rPr>
          <w:rFonts w:hint="default" w:asciiTheme="minorHAnsi" w:hAnsiTheme="minorHAnsi" w:eastAsiaTheme="minorEastAsia" w:cstheme="minorBidi"/>
          <w:b/>
          <w:bCs w:val="0"/>
          <w:kern w:val="44"/>
          <w:sz w:val="36"/>
          <w:szCs w:val="21"/>
          <w:lang w:val="en-US" w:eastAsia="zh-CN" w:bidi="ar-SA"/>
        </w:rPr>
      </w:pPr>
      <w:r>
        <w:rPr>
          <w:rFonts w:hint="eastAsia" w:asciiTheme="minorHAnsi" w:hAnsiTheme="minorHAnsi" w:eastAsiaTheme="minorEastAsia" w:cstheme="minorBidi"/>
          <w:b/>
          <w:bCs w:val="0"/>
          <w:kern w:val="44"/>
          <w:sz w:val="36"/>
          <w:szCs w:val="21"/>
          <w:lang w:val="en-US" w:eastAsia="zh-CN" w:bidi="ar-SA"/>
        </w:rPr>
        <w:t>4.服务期限</w:t>
      </w:r>
    </w:p>
    <w:p>
      <w:pPr>
        <w:rPr>
          <w:rFonts w:hint="eastAsia"/>
          <w:szCs w:val="24"/>
          <w:vertAlign w:val="baseline"/>
          <w:lang w:val="en-US" w:eastAsia="zh-CN"/>
        </w:rPr>
      </w:pPr>
      <w:r>
        <w:rPr>
          <w:rFonts w:hint="eastAsia"/>
          <w:szCs w:val="24"/>
          <w:vertAlign w:val="baseline"/>
          <w:lang w:val="en-US" w:eastAsia="zh-CN"/>
        </w:rPr>
        <w:t>合同签订时起1个月内完成。</w:t>
      </w:r>
    </w:p>
    <w:p>
      <w:pPr>
        <w:pStyle w:val="3"/>
        <w:numPr>
          <w:ilvl w:val="0"/>
          <w:numId w:val="0"/>
        </w:numPr>
        <w:spacing w:before="468" w:beforeLines="150" w:after="0" w:line="360" w:lineRule="auto"/>
        <w:ind w:leftChars="0"/>
        <w:rPr>
          <w:rFonts w:hint="eastAsia" w:asciiTheme="minorHAnsi" w:hAnsiTheme="minorHAnsi" w:eastAsiaTheme="minorEastAsia" w:cstheme="minorBidi"/>
          <w:b/>
          <w:bCs w:val="0"/>
          <w:kern w:val="44"/>
          <w:sz w:val="36"/>
          <w:szCs w:val="21"/>
          <w:lang w:val="en-US" w:eastAsia="zh-CN" w:bidi="ar-SA"/>
        </w:rPr>
      </w:pPr>
      <w:r>
        <w:rPr>
          <w:rFonts w:hint="eastAsia" w:asciiTheme="minorHAnsi" w:hAnsiTheme="minorHAnsi" w:eastAsiaTheme="minorEastAsia" w:cstheme="minorBidi"/>
          <w:b/>
          <w:bCs w:val="0"/>
          <w:kern w:val="44"/>
          <w:sz w:val="36"/>
          <w:szCs w:val="21"/>
          <w:lang w:val="en-US" w:eastAsia="zh-CN" w:bidi="ar-SA"/>
        </w:rPr>
        <w:t>5.付款方式</w:t>
      </w:r>
    </w:p>
    <w:p>
      <w:pPr>
        <w:rPr>
          <w:rFonts w:hint="eastAsia"/>
          <w:szCs w:val="24"/>
          <w:vertAlign w:val="baseline"/>
          <w:lang w:val="en-US" w:eastAsia="zh-CN"/>
        </w:rPr>
      </w:pPr>
      <w:r>
        <w:rPr>
          <w:rFonts w:hint="eastAsia"/>
          <w:szCs w:val="24"/>
          <w:vertAlign w:val="baseline"/>
          <w:lang w:val="en-US" w:eastAsia="zh-CN"/>
        </w:rPr>
        <w:t>（一）合同签订后，乙方凭中标通知书及全额正式发票向甲方请款，甲方收到上述资料后30日内向乙方支付合同总额50%的款项。乙方完成项目</w:t>
      </w:r>
      <w:bookmarkStart w:id="0" w:name="_GoBack"/>
      <w:bookmarkEnd w:id="0"/>
      <w:r>
        <w:rPr>
          <w:rFonts w:hint="eastAsia"/>
          <w:szCs w:val="24"/>
          <w:vertAlign w:val="baseline"/>
          <w:lang w:val="en-US" w:eastAsia="zh-CN"/>
        </w:rPr>
        <w:t>后提交书面的请款材料后甲方30日内向乙方支付合同剩余50%的款项.</w:t>
      </w:r>
    </w:p>
    <w:p>
      <w:pPr>
        <w:rPr>
          <w:rFonts w:hint="eastAsia"/>
          <w:szCs w:val="24"/>
          <w:vertAlign w:val="baseline"/>
          <w:lang w:val="en-US" w:eastAsia="zh-CN"/>
        </w:rPr>
      </w:pPr>
      <w:r>
        <w:rPr>
          <w:rFonts w:hint="eastAsia"/>
          <w:szCs w:val="24"/>
          <w:vertAlign w:val="baseline"/>
          <w:lang w:val="en-US" w:eastAsia="zh-CN"/>
        </w:rPr>
        <w:t>（二）付款要求：成交供应商凭以下有效文件与采购人结算：</w:t>
      </w:r>
    </w:p>
    <w:p>
      <w:pPr>
        <w:rPr>
          <w:rFonts w:hint="eastAsia"/>
          <w:szCs w:val="24"/>
          <w:vertAlign w:val="baseline"/>
          <w:lang w:val="en-US" w:eastAsia="zh-CN"/>
        </w:rPr>
      </w:pPr>
      <w:r>
        <w:rPr>
          <w:rFonts w:hint="eastAsia"/>
          <w:szCs w:val="24"/>
          <w:vertAlign w:val="baseline"/>
          <w:lang w:val="en-US" w:eastAsia="zh-CN"/>
        </w:rPr>
        <w:t>(1) 合同；</w:t>
      </w:r>
    </w:p>
    <w:p>
      <w:pPr>
        <w:rPr>
          <w:rFonts w:hint="eastAsia"/>
          <w:szCs w:val="24"/>
          <w:vertAlign w:val="baseline"/>
          <w:lang w:val="en-US" w:eastAsia="zh-CN"/>
        </w:rPr>
      </w:pPr>
      <w:r>
        <w:rPr>
          <w:rFonts w:hint="eastAsia"/>
          <w:szCs w:val="24"/>
          <w:vertAlign w:val="baseline"/>
          <w:lang w:val="en-US" w:eastAsia="zh-CN"/>
        </w:rPr>
        <w:t>(2) 开具的正式发票；</w:t>
      </w:r>
    </w:p>
    <w:p>
      <w:pPr>
        <w:rPr>
          <w:rFonts w:hint="eastAsia"/>
          <w:szCs w:val="24"/>
          <w:vertAlign w:val="baseline"/>
          <w:lang w:val="en-US" w:eastAsia="zh-CN"/>
        </w:rPr>
      </w:pPr>
      <w:r>
        <w:rPr>
          <w:rFonts w:hint="eastAsia"/>
          <w:szCs w:val="24"/>
          <w:vertAlign w:val="baseline"/>
          <w:lang w:val="en-US" w:eastAsia="zh-CN"/>
        </w:rPr>
        <w:t>(3) 验收报告（最后一次支付时提供，加盖采购人公章）；</w:t>
      </w:r>
    </w:p>
    <w:p>
      <w:pPr>
        <w:rPr>
          <w:rFonts w:hint="eastAsia"/>
          <w:szCs w:val="24"/>
          <w:vertAlign w:val="baseline"/>
          <w:lang w:val="en-US" w:eastAsia="zh-CN"/>
        </w:rPr>
      </w:pPr>
      <w:r>
        <w:rPr>
          <w:rFonts w:hint="eastAsia"/>
          <w:szCs w:val="24"/>
          <w:vertAlign w:val="baseline"/>
          <w:lang w:val="en-US" w:eastAsia="zh-CN"/>
        </w:rPr>
        <w:t>(4) 成交通知书。</w:t>
      </w:r>
    </w:p>
    <w:p>
      <w:pPr>
        <w:spacing w:line="24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AC963"/>
    <w:multiLevelType w:val="singleLevel"/>
    <w:tmpl w:val="94CAC963"/>
    <w:lvl w:ilvl="0" w:tentative="0">
      <w:start w:val="1"/>
      <w:numFmt w:val="decimal"/>
      <w:suff w:val="nothing"/>
      <w:lvlText w:val="（%1）"/>
      <w:lvlJc w:val="left"/>
    </w:lvl>
  </w:abstractNum>
  <w:abstractNum w:abstractNumId="1">
    <w:nsid w:val="0092930B"/>
    <w:multiLevelType w:val="singleLevel"/>
    <w:tmpl w:val="0092930B"/>
    <w:lvl w:ilvl="0" w:tentative="0">
      <w:start w:val="1"/>
      <w:numFmt w:val="decimal"/>
      <w:suff w:val="nothing"/>
      <w:lvlText w:val="（%1）"/>
      <w:lvlJc w:val="left"/>
    </w:lvl>
  </w:abstractNum>
  <w:abstractNum w:abstractNumId="2">
    <w:nsid w:val="71EEC4E3"/>
    <w:multiLevelType w:val="singleLevel"/>
    <w:tmpl w:val="71EEC4E3"/>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zNDk5MGVmMTNmNmZlNDYzZjk0YjUyYTcwMTc3MzcifQ=="/>
  </w:docVars>
  <w:rsids>
    <w:rsidRoot w:val="799A064A"/>
    <w:rsid w:val="05B60675"/>
    <w:rsid w:val="1B446F53"/>
    <w:rsid w:val="1C4F1CCA"/>
    <w:rsid w:val="24294678"/>
    <w:rsid w:val="28292348"/>
    <w:rsid w:val="2A650A95"/>
    <w:rsid w:val="33183C58"/>
    <w:rsid w:val="34FE3ECF"/>
    <w:rsid w:val="43C06C70"/>
    <w:rsid w:val="475A495B"/>
    <w:rsid w:val="48733F90"/>
    <w:rsid w:val="4B7670F1"/>
    <w:rsid w:val="4FD60D0E"/>
    <w:rsid w:val="50DDD9E9"/>
    <w:rsid w:val="55F54D13"/>
    <w:rsid w:val="5A1F7EE2"/>
    <w:rsid w:val="5EE16FD3"/>
    <w:rsid w:val="613B3A13"/>
    <w:rsid w:val="6A8E25F0"/>
    <w:rsid w:val="76F459ED"/>
    <w:rsid w:val="799A064A"/>
    <w:rsid w:val="F77F6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